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AD6B" w14:textId="2DA3864E" w:rsidR="56490AB9" w:rsidRDefault="56490AB9" w:rsidP="20347728">
      <w:pPr>
        <w:keepNext/>
        <w:keepLines/>
        <w:spacing w:before="240" w:after="0"/>
        <w:jc w:val="center"/>
        <w:rPr>
          <w:rFonts w:ascii="Aptos Display" w:eastAsia="Aptos Display" w:hAnsi="Aptos Display" w:cs="Aptos Display"/>
          <w:b/>
          <w:bCs/>
          <w:color w:val="0A2F41" w:themeColor="accent1" w:themeShade="80"/>
          <w:sz w:val="36"/>
          <w:szCs w:val="36"/>
        </w:rPr>
      </w:pPr>
      <w:r>
        <w:rPr>
          <w:noProof/>
        </w:rPr>
        <w:drawing>
          <wp:inline distT="0" distB="0" distL="0" distR="0" wp14:anchorId="56EEDA53" wp14:editId="79408CC7">
            <wp:extent cx="2362200" cy="1371600"/>
            <wp:effectExtent l="0" t="0" r="0" b="0"/>
            <wp:docPr id="1074103305" name="drawing" title="The Amber Trust logo. The figures of three children with musical notes for heads dance on the five lines of a music staff. 'The Amber Trust - Music for Blind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03305" name="Picture 1074103305"/>
                    <pic:cNvPicPr/>
                  </pic:nvPicPr>
                  <pic:blipFill>
                    <a:blip r:embed="rId10">
                      <a:extLst>
                        <a:ext uri="{28A0092B-C50C-407E-A947-70E740481C1C}">
                          <a14:useLocalDpi xmlns:a14="http://schemas.microsoft.com/office/drawing/2010/main"/>
                        </a:ext>
                      </a:extLst>
                    </a:blip>
                    <a:stretch>
                      <a:fillRect/>
                    </a:stretch>
                  </pic:blipFill>
                  <pic:spPr>
                    <a:xfrm>
                      <a:off x="0" y="0"/>
                      <a:ext cx="2362200" cy="1371600"/>
                    </a:xfrm>
                    <a:prstGeom prst="rect">
                      <a:avLst/>
                    </a:prstGeom>
                  </pic:spPr>
                </pic:pic>
              </a:graphicData>
            </a:graphic>
          </wp:inline>
        </w:drawing>
      </w:r>
    </w:p>
    <w:p w14:paraId="65D48D67" w14:textId="0A945C58" w:rsidR="20347728" w:rsidRDefault="20347728" w:rsidP="20347728">
      <w:pPr>
        <w:rPr>
          <w:rFonts w:ascii="Aptos" w:eastAsia="Aptos" w:hAnsi="Aptos" w:cs="Aptos"/>
          <w:color w:val="000000" w:themeColor="text1"/>
          <w:sz w:val="22"/>
          <w:szCs w:val="22"/>
        </w:rPr>
      </w:pPr>
    </w:p>
    <w:p w14:paraId="7CCF84B6" w14:textId="46DA1EFE" w:rsidR="56490AB9" w:rsidRPr="003B4B5F" w:rsidRDefault="56490AB9" w:rsidP="003B4B5F">
      <w:pPr>
        <w:spacing w:after="0" w:line="240" w:lineRule="auto"/>
        <w:jc w:val="center"/>
        <w:rPr>
          <w:rFonts w:ascii="Arial" w:eastAsia="Arial" w:hAnsi="Arial" w:cs="Arial"/>
          <w:color w:val="F36F1F"/>
          <w:sz w:val="32"/>
          <w:szCs w:val="32"/>
        </w:rPr>
      </w:pPr>
      <w:r w:rsidRPr="20347728">
        <w:rPr>
          <w:rStyle w:val="normaltextrun"/>
          <w:rFonts w:ascii="Arial" w:eastAsia="Arial" w:hAnsi="Arial" w:cs="Arial"/>
          <w:color w:val="000000" w:themeColor="text1"/>
          <w:sz w:val="32"/>
          <w:szCs w:val="32"/>
        </w:rPr>
        <w:t xml:space="preserve">Music is not just a pastime, </w:t>
      </w:r>
      <w:r w:rsidRPr="20347728">
        <w:rPr>
          <w:rStyle w:val="normaltextrun"/>
          <w:rFonts w:ascii="Arial" w:eastAsia="Arial" w:hAnsi="Arial" w:cs="Arial"/>
          <w:i/>
          <w:iCs/>
          <w:color w:val="F36F1F"/>
          <w:sz w:val="32"/>
          <w:szCs w:val="32"/>
        </w:rPr>
        <w:t>it’s a lifeline </w:t>
      </w:r>
      <w:r w:rsidRPr="20347728">
        <w:rPr>
          <w:rStyle w:val="eop"/>
          <w:rFonts w:ascii="Arial" w:eastAsia="Arial" w:hAnsi="Arial" w:cs="Arial"/>
          <w:color w:val="F36F1F"/>
          <w:sz w:val="32"/>
          <w:szCs w:val="32"/>
        </w:rPr>
        <w:t> </w:t>
      </w:r>
    </w:p>
    <w:p w14:paraId="7A70E7A6" w14:textId="61EDEB01" w:rsidR="56490AB9" w:rsidRDefault="56490AB9" w:rsidP="20347728">
      <w:pPr>
        <w:keepNext/>
        <w:keepLines/>
        <w:spacing w:before="240" w:after="0"/>
        <w:jc w:val="center"/>
      </w:pPr>
      <w:r w:rsidRPr="20347728">
        <w:rPr>
          <w:rFonts w:ascii="Aptos Display" w:eastAsia="Aptos Display" w:hAnsi="Aptos Display" w:cs="Aptos Display"/>
          <w:b/>
          <w:bCs/>
          <w:color w:val="0A2F41" w:themeColor="accent1" w:themeShade="80"/>
          <w:sz w:val="36"/>
          <w:szCs w:val="36"/>
        </w:rPr>
        <w:t>Positive Touch Guide</w:t>
      </w:r>
    </w:p>
    <w:p w14:paraId="5DAB67A4" w14:textId="2DB0F000" w:rsidR="20347728" w:rsidRDefault="20347728" w:rsidP="20347728">
      <w:pPr>
        <w:rPr>
          <w:rStyle w:val="Heading1Char"/>
          <w:b/>
          <w:bCs/>
        </w:rPr>
      </w:pPr>
    </w:p>
    <w:sdt>
      <w:sdtPr>
        <w:rPr>
          <w:rFonts w:asciiTheme="majorHAnsi" w:eastAsiaTheme="majorEastAsia" w:hAnsiTheme="majorHAnsi" w:cstheme="majorBidi"/>
          <w:color w:val="0F4761" w:themeColor="accent1" w:themeShade="BF"/>
          <w:sz w:val="40"/>
          <w:szCs w:val="40"/>
        </w:rPr>
        <w:id w:val="1079464518"/>
        <w:docPartObj>
          <w:docPartGallery w:val="Table of Contents"/>
          <w:docPartUnique/>
        </w:docPartObj>
      </w:sdtPr>
      <w:sdtEndPr>
        <w:rPr>
          <w:rFonts w:asciiTheme="minorHAnsi" w:eastAsiaTheme="minorHAnsi" w:hAnsiTheme="minorHAnsi" w:cstheme="minorBidi"/>
          <w:color w:val="auto"/>
          <w:sz w:val="24"/>
          <w:szCs w:val="24"/>
        </w:rPr>
      </w:sdtEndPr>
      <w:sdtContent>
        <w:p w14:paraId="4D7A6F36" w14:textId="31BEE26B" w:rsidR="0090329F" w:rsidRDefault="0F18E3E0">
          <w:pPr>
            <w:pStyle w:val="TOC1"/>
            <w:tabs>
              <w:tab w:val="right" w:leader="dot" w:pos="9016"/>
            </w:tabs>
            <w:rPr>
              <w:rFonts w:eastAsiaTheme="minorEastAsia"/>
              <w:noProof/>
              <w:lang w:eastAsia="en-GB"/>
            </w:rPr>
          </w:pPr>
          <w:r>
            <w:fldChar w:fldCharType="begin"/>
          </w:r>
          <w:r>
            <w:instrText>TOC \o "1-1" \z \u \h</w:instrText>
          </w:r>
          <w:r>
            <w:fldChar w:fldCharType="separate"/>
          </w:r>
          <w:hyperlink w:anchor="_Toc226898183" w:history="1">
            <w:r w:rsidR="0090329F" w:rsidRPr="00D913D6">
              <w:rPr>
                <w:rStyle w:val="Hyperlink"/>
                <w:b/>
                <w:bCs/>
                <w:noProof/>
              </w:rPr>
              <w:t>Introduction</w:t>
            </w:r>
            <w:r w:rsidR="0090329F">
              <w:rPr>
                <w:noProof/>
                <w:webHidden/>
              </w:rPr>
              <w:tab/>
            </w:r>
            <w:r w:rsidR="0090329F">
              <w:rPr>
                <w:noProof/>
                <w:webHidden/>
              </w:rPr>
              <w:fldChar w:fldCharType="begin"/>
            </w:r>
            <w:r w:rsidR="0090329F">
              <w:rPr>
                <w:noProof/>
                <w:webHidden/>
              </w:rPr>
              <w:instrText xml:space="preserve"> PAGEREF _Toc226898183 \h </w:instrText>
            </w:r>
            <w:r w:rsidR="0090329F">
              <w:rPr>
                <w:noProof/>
                <w:webHidden/>
              </w:rPr>
            </w:r>
            <w:r w:rsidR="0090329F">
              <w:rPr>
                <w:noProof/>
                <w:webHidden/>
              </w:rPr>
              <w:fldChar w:fldCharType="separate"/>
            </w:r>
            <w:r w:rsidR="0090329F">
              <w:rPr>
                <w:noProof/>
                <w:webHidden/>
              </w:rPr>
              <w:t>1</w:t>
            </w:r>
            <w:r w:rsidR="0090329F">
              <w:rPr>
                <w:noProof/>
                <w:webHidden/>
              </w:rPr>
              <w:fldChar w:fldCharType="end"/>
            </w:r>
          </w:hyperlink>
        </w:p>
        <w:p w14:paraId="6D095B02" w14:textId="56B531C1" w:rsidR="0090329F" w:rsidRDefault="0090329F">
          <w:pPr>
            <w:pStyle w:val="TOC1"/>
            <w:tabs>
              <w:tab w:val="right" w:leader="dot" w:pos="9016"/>
            </w:tabs>
            <w:rPr>
              <w:rFonts w:eastAsiaTheme="minorEastAsia"/>
              <w:noProof/>
              <w:lang w:eastAsia="en-GB"/>
            </w:rPr>
          </w:pPr>
          <w:hyperlink w:anchor="_Toc226898184" w:history="1">
            <w:r w:rsidRPr="00D913D6">
              <w:rPr>
                <w:rStyle w:val="Hyperlink"/>
                <w:b/>
                <w:bCs/>
                <w:noProof/>
              </w:rPr>
              <w:t>Amber’s Approach</w:t>
            </w:r>
            <w:r>
              <w:rPr>
                <w:noProof/>
                <w:webHidden/>
              </w:rPr>
              <w:tab/>
            </w:r>
            <w:r>
              <w:rPr>
                <w:noProof/>
                <w:webHidden/>
              </w:rPr>
              <w:fldChar w:fldCharType="begin"/>
            </w:r>
            <w:r>
              <w:rPr>
                <w:noProof/>
                <w:webHidden/>
              </w:rPr>
              <w:instrText xml:space="preserve"> PAGEREF _Toc226898184 \h </w:instrText>
            </w:r>
            <w:r>
              <w:rPr>
                <w:noProof/>
                <w:webHidden/>
              </w:rPr>
            </w:r>
            <w:r>
              <w:rPr>
                <w:noProof/>
                <w:webHidden/>
              </w:rPr>
              <w:fldChar w:fldCharType="separate"/>
            </w:r>
            <w:r>
              <w:rPr>
                <w:noProof/>
                <w:webHidden/>
              </w:rPr>
              <w:t>2</w:t>
            </w:r>
            <w:r>
              <w:rPr>
                <w:noProof/>
                <w:webHidden/>
              </w:rPr>
              <w:fldChar w:fldCharType="end"/>
            </w:r>
          </w:hyperlink>
        </w:p>
        <w:p w14:paraId="1AF54740" w14:textId="18709C43" w:rsidR="0090329F" w:rsidRDefault="0090329F">
          <w:pPr>
            <w:pStyle w:val="TOC1"/>
            <w:tabs>
              <w:tab w:val="right" w:leader="dot" w:pos="9016"/>
            </w:tabs>
            <w:rPr>
              <w:rFonts w:eastAsiaTheme="minorEastAsia"/>
              <w:noProof/>
              <w:lang w:eastAsia="en-GB"/>
            </w:rPr>
          </w:pPr>
          <w:hyperlink w:anchor="_Toc226898185" w:history="1">
            <w:r w:rsidRPr="00D913D6">
              <w:rPr>
                <w:rStyle w:val="Hyperlink"/>
                <w:b/>
                <w:bCs/>
                <w:noProof/>
              </w:rPr>
              <w:t>Positive Touch for Blind Learners</w:t>
            </w:r>
            <w:r>
              <w:rPr>
                <w:noProof/>
                <w:webHidden/>
              </w:rPr>
              <w:tab/>
            </w:r>
            <w:r>
              <w:rPr>
                <w:noProof/>
                <w:webHidden/>
              </w:rPr>
              <w:fldChar w:fldCharType="begin"/>
            </w:r>
            <w:r>
              <w:rPr>
                <w:noProof/>
                <w:webHidden/>
              </w:rPr>
              <w:instrText xml:space="preserve"> PAGEREF _Toc226898185 \h </w:instrText>
            </w:r>
            <w:r>
              <w:rPr>
                <w:noProof/>
                <w:webHidden/>
              </w:rPr>
            </w:r>
            <w:r>
              <w:rPr>
                <w:noProof/>
                <w:webHidden/>
              </w:rPr>
              <w:fldChar w:fldCharType="separate"/>
            </w:r>
            <w:r>
              <w:rPr>
                <w:noProof/>
                <w:webHidden/>
              </w:rPr>
              <w:t>3</w:t>
            </w:r>
            <w:r>
              <w:rPr>
                <w:noProof/>
                <w:webHidden/>
              </w:rPr>
              <w:fldChar w:fldCharType="end"/>
            </w:r>
          </w:hyperlink>
        </w:p>
        <w:p w14:paraId="4EBB2EE7" w14:textId="0BDC6268" w:rsidR="0090329F" w:rsidRDefault="0090329F">
          <w:pPr>
            <w:pStyle w:val="TOC1"/>
            <w:tabs>
              <w:tab w:val="right" w:leader="dot" w:pos="9016"/>
            </w:tabs>
            <w:rPr>
              <w:rFonts w:eastAsiaTheme="minorEastAsia"/>
              <w:noProof/>
              <w:lang w:eastAsia="en-GB"/>
            </w:rPr>
          </w:pPr>
          <w:hyperlink w:anchor="_Toc226898186" w:history="1">
            <w:r w:rsidRPr="00D913D6">
              <w:rPr>
                <w:rStyle w:val="Hyperlink"/>
                <w:b/>
                <w:bCs/>
                <w:noProof/>
              </w:rPr>
              <w:t>Technique: Amber Sound Touch</w:t>
            </w:r>
            <w:r>
              <w:rPr>
                <w:noProof/>
                <w:webHidden/>
              </w:rPr>
              <w:tab/>
            </w:r>
            <w:r>
              <w:rPr>
                <w:noProof/>
                <w:webHidden/>
              </w:rPr>
              <w:fldChar w:fldCharType="begin"/>
            </w:r>
            <w:r>
              <w:rPr>
                <w:noProof/>
                <w:webHidden/>
              </w:rPr>
              <w:instrText xml:space="preserve"> PAGEREF _Toc226898186 \h </w:instrText>
            </w:r>
            <w:r>
              <w:rPr>
                <w:noProof/>
                <w:webHidden/>
              </w:rPr>
            </w:r>
            <w:r>
              <w:rPr>
                <w:noProof/>
                <w:webHidden/>
              </w:rPr>
              <w:fldChar w:fldCharType="separate"/>
            </w:r>
            <w:r>
              <w:rPr>
                <w:noProof/>
                <w:webHidden/>
              </w:rPr>
              <w:t>3</w:t>
            </w:r>
            <w:r>
              <w:rPr>
                <w:noProof/>
                <w:webHidden/>
              </w:rPr>
              <w:fldChar w:fldCharType="end"/>
            </w:r>
          </w:hyperlink>
        </w:p>
        <w:p w14:paraId="7E0326C9" w14:textId="4984ED6D" w:rsidR="0090329F" w:rsidRDefault="0090329F">
          <w:pPr>
            <w:pStyle w:val="TOC1"/>
            <w:tabs>
              <w:tab w:val="right" w:leader="dot" w:pos="9016"/>
            </w:tabs>
            <w:rPr>
              <w:rFonts w:eastAsiaTheme="minorEastAsia"/>
              <w:noProof/>
              <w:lang w:eastAsia="en-GB"/>
            </w:rPr>
          </w:pPr>
          <w:hyperlink w:anchor="_Toc226898187" w:history="1">
            <w:r w:rsidRPr="00D913D6">
              <w:rPr>
                <w:rStyle w:val="Hyperlink"/>
                <w:b/>
                <w:bCs/>
                <w:noProof/>
              </w:rPr>
              <w:t>Top Tips for Using Touch in Communication, Learning and Wellbeing</w:t>
            </w:r>
            <w:r>
              <w:rPr>
                <w:noProof/>
                <w:webHidden/>
              </w:rPr>
              <w:tab/>
            </w:r>
            <w:r>
              <w:rPr>
                <w:noProof/>
                <w:webHidden/>
              </w:rPr>
              <w:fldChar w:fldCharType="begin"/>
            </w:r>
            <w:r>
              <w:rPr>
                <w:noProof/>
                <w:webHidden/>
              </w:rPr>
              <w:instrText xml:space="preserve"> PAGEREF _Toc226898187 \h </w:instrText>
            </w:r>
            <w:r>
              <w:rPr>
                <w:noProof/>
                <w:webHidden/>
              </w:rPr>
            </w:r>
            <w:r>
              <w:rPr>
                <w:noProof/>
                <w:webHidden/>
              </w:rPr>
              <w:fldChar w:fldCharType="separate"/>
            </w:r>
            <w:r>
              <w:rPr>
                <w:noProof/>
                <w:webHidden/>
              </w:rPr>
              <w:t>4</w:t>
            </w:r>
            <w:r>
              <w:rPr>
                <w:noProof/>
                <w:webHidden/>
              </w:rPr>
              <w:fldChar w:fldCharType="end"/>
            </w:r>
          </w:hyperlink>
        </w:p>
        <w:p w14:paraId="59F3E92D" w14:textId="76EC5AAB" w:rsidR="0090329F" w:rsidRDefault="0090329F">
          <w:pPr>
            <w:pStyle w:val="TOC1"/>
            <w:tabs>
              <w:tab w:val="right" w:leader="dot" w:pos="9016"/>
            </w:tabs>
            <w:rPr>
              <w:rFonts w:eastAsiaTheme="minorEastAsia"/>
              <w:noProof/>
              <w:lang w:eastAsia="en-GB"/>
            </w:rPr>
          </w:pPr>
          <w:hyperlink w:anchor="_Toc226898188" w:history="1">
            <w:r w:rsidRPr="00D913D6">
              <w:rPr>
                <w:rStyle w:val="Hyperlink"/>
                <w:b/>
                <w:bCs/>
                <w:noProof/>
              </w:rPr>
              <w:t>Safeguarding</w:t>
            </w:r>
            <w:r>
              <w:rPr>
                <w:noProof/>
                <w:webHidden/>
              </w:rPr>
              <w:tab/>
            </w:r>
            <w:r>
              <w:rPr>
                <w:noProof/>
                <w:webHidden/>
              </w:rPr>
              <w:fldChar w:fldCharType="begin"/>
            </w:r>
            <w:r>
              <w:rPr>
                <w:noProof/>
                <w:webHidden/>
              </w:rPr>
              <w:instrText xml:space="preserve"> PAGEREF _Toc226898188 \h </w:instrText>
            </w:r>
            <w:r>
              <w:rPr>
                <w:noProof/>
                <w:webHidden/>
              </w:rPr>
            </w:r>
            <w:r>
              <w:rPr>
                <w:noProof/>
                <w:webHidden/>
              </w:rPr>
              <w:fldChar w:fldCharType="separate"/>
            </w:r>
            <w:r>
              <w:rPr>
                <w:noProof/>
                <w:webHidden/>
              </w:rPr>
              <w:t>4</w:t>
            </w:r>
            <w:r>
              <w:rPr>
                <w:noProof/>
                <w:webHidden/>
              </w:rPr>
              <w:fldChar w:fldCharType="end"/>
            </w:r>
          </w:hyperlink>
        </w:p>
        <w:p w14:paraId="7D453C6F" w14:textId="38F43FBE" w:rsidR="0090329F" w:rsidRDefault="0090329F">
          <w:pPr>
            <w:pStyle w:val="TOC1"/>
            <w:tabs>
              <w:tab w:val="right" w:leader="dot" w:pos="9016"/>
            </w:tabs>
            <w:rPr>
              <w:rFonts w:eastAsiaTheme="minorEastAsia"/>
              <w:noProof/>
              <w:lang w:eastAsia="en-GB"/>
            </w:rPr>
          </w:pPr>
          <w:hyperlink w:anchor="_Toc226898189" w:history="1">
            <w:r w:rsidRPr="00D913D6">
              <w:rPr>
                <w:rStyle w:val="Hyperlink"/>
                <w:b/>
                <w:bCs/>
                <w:noProof/>
              </w:rPr>
              <w:t>Positive Touch: Practitioner Checklist</w:t>
            </w:r>
            <w:r>
              <w:rPr>
                <w:noProof/>
                <w:webHidden/>
              </w:rPr>
              <w:tab/>
            </w:r>
            <w:r>
              <w:rPr>
                <w:noProof/>
                <w:webHidden/>
              </w:rPr>
              <w:fldChar w:fldCharType="begin"/>
            </w:r>
            <w:r>
              <w:rPr>
                <w:noProof/>
                <w:webHidden/>
              </w:rPr>
              <w:instrText xml:space="preserve"> PAGEREF _Toc226898189 \h </w:instrText>
            </w:r>
            <w:r>
              <w:rPr>
                <w:noProof/>
                <w:webHidden/>
              </w:rPr>
            </w:r>
            <w:r>
              <w:rPr>
                <w:noProof/>
                <w:webHidden/>
              </w:rPr>
              <w:fldChar w:fldCharType="separate"/>
            </w:r>
            <w:r>
              <w:rPr>
                <w:noProof/>
                <w:webHidden/>
              </w:rPr>
              <w:t>5</w:t>
            </w:r>
            <w:r>
              <w:rPr>
                <w:noProof/>
                <w:webHidden/>
              </w:rPr>
              <w:fldChar w:fldCharType="end"/>
            </w:r>
          </w:hyperlink>
        </w:p>
        <w:p w14:paraId="642C6D67" w14:textId="270F8C2C" w:rsidR="0090329F" w:rsidRDefault="0090329F">
          <w:pPr>
            <w:pStyle w:val="TOC1"/>
            <w:tabs>
              <w:tab w:val="right" w:leader="dot" w:pos="9016"/>
            </w:tabs>
            <w:rPr>
              <w:rFonts w:eastAsiaTheme="minorEastAsia"/>
              <w:noProof/>
              <w:lang w:eastAsia="en-GB"/>
            </w:rPr>
          </w:pPr>
          <w:hyperlink w:anchor="_Toc226898190" w:history="1">
            <w:r w:rsidRPr="00D913D6">
              <w:rPr>
                <w:rStyle w:val="Hyperlink"/>
                <w:b/>
                <w:bCs/>
                <w:noProof/>
              </w:rPr>
              <w:t>For parents</w:t>
            </w:r>
            <w:r>
              <w:rPr>
                <w:noProof/>
                <w:webHidden/>
              </w:rPr>
              <w:tab/>
            </w:r>
            <w:r>
              <w:rPr>
                <w:noProof/>
                <w:webHidden/>
              </w:rPr>
              <w:fldChar w:fldCharType="begin"/>
            </w:r>
            <w:r>
              <w:rPr>
                <w:noProof/>
                <w:webHidden/>
              </w:rPr>
              <w:instrText xml:space="preserve"> PAGEREF _Toc226898190 \h </w:instrText>
            </w:r>
            <w:r>
              <w:rPr>
                <w:noProof/>
                <w:webHidden/>
              </w:rPr>
            </w:r>
            <w:r>
              <w:rPr>
                <w:noProof/>
                <w:webHidden/>
              </w:rPr>
              <w:fldChar w:fldCharType="separate"/>
            </w:r>
            <w:r>
              <w:rPr>
                <w:noProof/>
                <w:webHidden/>
              </w:rPr>
              <w:t>5</w:t>
            </w:r>
            <w:r>
              <w:rPr>
                <w:noProof/>
                <w:webHidden/>
              </w:rPr>
              <w:fldChar w:fldCharType="end"/>
            </w:r>
          </w:hyperlink>
        </w:p>
        <w:p w14:paraId="176DE4A8" w14:textId="6DA7886B" w:rsidR="0090329F" w:rsidRDefault="0090329F">
          <w:pPr>
            <w:pStyle w:val="TOC1"/>
            <w:tabs>
              <w:tab w:val="right" w:leader="dot" w:pos="9016"/>
            </w:tabs>
            <w:rPr>
              <w:rFonts w:eastAsiaTheme="minorEastAsia"/>
              <w:noProof/>
              <w:lang w:eastAsia="en-GB"/>
            </w:rPr>
          </w:pPr>
          <w:hyperlink w:anchor="_Toc226898191" w:history="1">
            <w:r w:rsidRPr="00D913D6">
              <w:rPr>
                <w:rStyle w:val="Hyperlink"/>
                <w:b/>
                <w:bCs/>
                <w:noProof/>
              </w:rPr>
              <w:t>Alignment with Ofsted / SEND / safeguarding inspection language</w:t>
            </w:r>
            <w:r>
              <w:rPr>
                <w:noProof/>
                <w:webHidden/>
              </w:rPr>
              <w:tab/>
            </w:r>
            <w:r>
              <w:rPr>
                <w:noProof/>
                <w:webHidden/>
              </w:rPr>
              <w:fldChar w:fldCharType="begin"/>
            </w:r>
            <w:r>
              <w:rPr>
                <w:noProof/>
                <w:webHidden/>
              </w:rPr>
              <w:instrText xml:space="preserve"> PAGEREF _Toc226898191 \h </w:instrText>
            </w:r>
            <w:r>
              <w:rPr>
                <w:noProof/>
                <w:webHidden/>
              </w:rPr>
            </w:r>
            <w:r>
              <w:rPr>
                <w:noProof/>
                <w:webHidden/>
              </w:rPr>
              <w:fldChar w:fldCharType="separate"/>
            </w:r>
            <w:r>
              <w:rPr>
                <w:noProof/>
                <w:webHidden/>
              </w:rPr>
              <w:t>6</w:t>
            </w:r>
            <w:r>
              <w:rPr>
                <w:noProof/>
                <w:webHidden/>
              </w:rPr>
              <w:fldChar w:fldCharType="end"/>
            </w:r>
          </w:hyperlink>
        </w:p>
        <w:p w14:paraId="3F5D1833" w14:textId="2567E042" w:rsidR="20347728" w:rsidRPr="0090329F" w:rsidRDefault="0F18E3E0" w:rsidP="0090329F">
          <w:pPr>
            <w:pStyle w:val="TOC1"/>
            <w:tabs>
              <w:tab w:val="right" w:leader="dot" w:pos="9015"/>
            </w:tabs>
            <w:rPr>
              <w:rStyle w:val="Heading1Char"/>
              <w:rFonts w:asciiTheme="minorHAnsi" w:eastAsiaTheme="minorHAnsi" w:hAnsiTheme="minorHAnsi" w:cstheme="minorBidi"/>
              <w:color w:val="467886"/>
              <w:sz w:val="24"/>
              <w:szCs w:val="24"/>
              <w:u w:val="single"/>
            </w:rPr>
          </w:pPr>
          <w:r>
            <w:fldChar w:fldCharType="end"/>
          </w:r>
        </w:p>
      </w:sdtContent>
    </w:sdt>
    <w:p w14:paraId="4335166E" w14:textId="48FA0000" w:rsidR="20347728" w:rsidRDefault="0090329F" w:rsidP="0F18E3E0">
      <w:pPr>
        <w:rPr>
          <w:rStyle w:val="Heading1Char"/>
          <w:b/>
          <w:bCs/>
        </w:rPr>
      </w:pPr>
      <w:bookmarkStart w:id="0" w:name="_Toc226898183"/>
      <w:r>
        <w:rPr>
          <w:rStyle w:val="Heading1Char"/>
          <w:b/>
          <w:bCs/>
        </w:rPr>
        <w:t>Introduction</w:t>
      </w:r>
      <w:bookmarkEnd w:id="0"/>
    </w:p>
    <w:p w14:paraId="7A59915D" w14:textId="5B7BDA2F" w:rsidR="00675A83" w:rsidRDefault="00675A83" w:rsidP="00675A83">
      <w:r>
        <w:t xml:space="preserve">The Amber Trust is a UK-wide charity dedicated to giving blind and partially sighted children the best possible musical opportunities. Amber’s work is grounded in evidence-informed approaches to musical development for children with vision impairments, including those with additional differences and disabilities, and those with complex needs. </w:t>
      </w:r>
    </w:p>
    <w:p w14:paraId="608500B0" w14:textId="1837E4A5" w:rsidR="00675A83" w:rsidRDefault="00675A83" w:rsidP="00675A83">
      <w:r>
        <w:t xml:space="preserve">Children who are blind or who have very little sight experience the world primarily through auditory and tactile information. In music education, this means that touch can become an especially powerful and meaningful channel for demonstrating and scaffolding instrumental technique, supporting singing (for example, through awareness of breath and posture), and, for some children, communicating reassurance and emotional connection. </w:t>
      </w:r>
    </w:p>
    <w:p w14:paraId="42374B9F" w14:textId="4ED09E0C" w:rsidR="00675A83" w:rsidRDefault="00675A83" w:rsidP="00675A83">
      <w:r>
        <w:lastRenderedPageBreak/>
        <w:t xml:space="preserve">Blind learners often develop heightened tactile sensitivity and use hands-on exploration to understand musical instruments and other sound-makers. For children in the early stages of verbal development, or those who do not use spoken language, touch may also play an important role in mediating interaction with others. </w:t>
      </w:r>
    </w:p>
    <w:p w14:paraId="38A2DA99" w14:textId="450C5BC4" w:rsidR="00675A83" w:rsidRDefault="00675A83" w:rsidP="00675A83">
      <w:r>
        <w:t xml:space="preserve">What we define as Positive Touch is the intentional, supportive and appropriate use of physical contact to facilitate learning, foster communication and, where appropriate, provide reassurance. Used sensitively and ethically, Positive Touch can be a crucial element in teaching blind and some partially sighted children. </w:t>
      </w:r>
    </w:p>
    <w:p w14:paraId="502BF36E" w14:textId="1A17DCB8" w:rsidR="00675A83" w:rsidRPr="00D62D9C" w:rsidRDefault="4D404CBD" w:rsidP="00675A83">
      <w:pPr>
        <w:pStyle w:val="Heading1"/>
        <w:rPr>
          <w:b/>
          <w:bCs/>
        </w:rPr>
      </w:pPr>
      <w:bookmarkStart w:id="1" w:name="_Toc1731565513"/>
      <w:bookmarkStart w:id="2" w:name="_Toc226898184"/>
      <w:r w:rsidRPr="4D404CBD">
        <w:rPr>
          <w:b/>
          <w:bCs/>
        </w:rPr>
        <w:t>Amber’s Approach</w:t>
      </w:r>
      <w:bookmarkEnd w:id="1"/>
      <w:bookmarkEnd w:id="2"/>
      <w:r w:rsidRPr="4D404CBD">
        <w:rPr>
          <w:b/>
          <w:bCs/>
        </w:rPr>
        <w:t xml:space="preserve"> </w:t>
      </w:r>
    </w:p>
    <w:p w14:paraId="412690D0" w14:textId="77777777" w:rsidR="00675A83" w:rsidRDefault="00675A83" w:rsidP="00675A83">
      <w:r>
        <w:t xml:space="preserve">The Amber Trust promotes positive, appropriate and reassuring touch between practitioners and blind children, or those with very little sight, during music teaching and music-service sessions. For some children – particularly those who are very young or who have additional disabilities – touch may be an essential part of communication and of building understanding of the world around them. </w:t>
      </w:r>
    </w:p>
    <w:p w14:paraId="74D5F0C3" w14:textId="0F356393" w:rsidR="00675A83" w:rsidRDefault="00675A83" w:rsidP="00675A83">
      <w:r>
        <w:t xml:space="preserve">All physical contact must be guided by verbal and non-verbal cues from the child and must be clearly welcomed and respectful. Practitioners should remember that a blind child cannot see an adult’s hand approaching. Children should therefore always be given advance warning that touch may occur, and their consent should be actively sought. </w:t>
      </w:r>
    </w:p>
    <w:p w14:paraId="4E82667E" w14:textId="77777777" w:rsidR="00675A83" w:rsidRDefault="00675A83" w:rsidP="00675A83">
      <w:r>
        <w:t xml:space="preserve">This can be done through clear language (e.g. “May I help you?”, “May I show you?”) and/or a very gentle preliminary cue, such as a light tap with the back of the hand on a non-intrusive area (for example the shoulder, arm, back or lower leg), before any further contact takes place. Practitioners should observe the child’s response carefully and adjust accordingly. </w:t>
      </w:r>
    </w:p>
    <w:p w14:paraId="01DF3357" w14:textId="567B15A2" w:rsidR="00675A83" w:rsidRDefault="00675A83" w:rsidP="00675A83">
      <w:r>
        <w:t xml:space="preserve">Some blind children are tactile defensive, often </w:t>
      </w:r>
      <w:proofErr w:type="gramStart"/>
      <w:r>
        <w:t>as a result of</w:t>
      </w:r>
      <w:proofErr w:type="gramEnd"/>
      <w:r>
        <w:t xml:space="preserve"> past experiences of unexpected or imposed touch. Practitioners should always respect a child’s preferences, except where intervention is required to prevent harm. </w:t>
      </w:r>
    </w:p>
    <w:p w14:paraId="1FAD849B" w14:textId="4FF70C31" w:rsidR="00675A83" w:rsidRDefault="46EA3011" w:rsidP="00675A83">
      <w:r>
        <w:t xml:space="preserve">Wherever possible, Amber Trust practitioners should work in the presence of other adults and feel confident in modelling, explaining and justifying any interaction involving touch. </w:t>
      </w:r>
    </w:p>
    <w:p w14:paraId="5EC4F783" w14:textId="77777777" w:rsidR="00675A83" w:rsidRPr="00D62D9C" w:rsidRDefault="4D404CBD" w:rsidP="00675A83">
      <w:pPr>
        <w:pStyle w:val="Heading1"/>
        <w:rPr>
          <w:b/>
          <w:bCs/>
        </w:rPr>
      </w:pPr>
      <w:bookmarkStart w:id="3" w:name="_Toc1610737141"/>
      <w:bookmarkStart w:id="4" w:name="_Toc226898185"/>
      <w:r w:rsidRPr="4D404CBD">
        <w:rPr>
          <w:b/>
          <w:bCs/>
        </w:rPr>
        <w:t>Positive Touch for Blind Learners</w:t>
      </w:r>
      <w:bookmarkEnd w:id="3"/>
      <w:bookmarkEnd w:id="4"/>
      <w:r w:rsidRPr="4D404CBD">
        <w:rPr>
          <w:b/>
          <w:bCs/>
        </w:rPr>
        <w:t xml:space="preserve"> </w:t>
      </w:r>
    </w:p>
    <w:p w14:paraId="32E662F5" w14:textId="752A4349" w:rsidR="00675A83" w:rsidRDefault="46EA3011" w:rsidP="00675A83">
      <w:pPr>
        <w:pStyle w:val="Heading2"/>
      </w:pPr>
      <w:r>
        <w:t xml:space="preserve">Building spatial awareness and instrument familiarity </w:t>
      </w:r>
    </w:p>
    <w:p w14:paraId="44B08DC4" w14:textId="716436B6" w:rsidR="00675A83" w:rsidRDefault="00675A83" w:rsidP="00675A83">
      <w:r>
        <w:t xml:space="preserve">Touch allows a child to locate an instrument, understand its shape and explore its component parts. Gently guiding a learner’s hands over keys, strings or percussion </w:t>
      </w:r>
      <w:r>
        <w:lastRenderedPageBreak/>
        <w:t xml:space="preserve">surfaces can help them form a tactile and haptic map of the instrument, supporting confidence and independent playing. </w:t>
      </w:r>
    </w:p>
    <w:p w14:paraId="359BD84D" w14:textId="2C93D33D" w:rsidR="00675A83" w:rsidRDefault="46EA3011" w:rsidP="00675A83">
      <w:pPr>
        <w:pStyle w:val="Heading2"/>
      </w:pPr>
      <w:r>
        <w:t xml:space="preserve">Supporting communication and attention </w:t>
      </w:r>
    </w:p>
    <w:p w14:paraId="00B6E091" w14:textId="746F8CE9" w:rsidR="00675A83" w:rsidRDefault="00675A83" w:rsidP="00675A83">
      <w:r>
        <w:t>For many blind children, touch is an early and essential means of engagement. Appropriate touch – such as guiding a hand or tapping in rhythm – can help gain attention, reinforce musical patterns when visual cues are unavailable and signal transitions between activities.</w:t>
      </w:r>
    </w:p>
    <w:p w14:paraId="43CAB7C4" w14:textId="767DAC65" w:rsidR="00675A83" w:rsidRDefault="46EA3011" w:rsidP="00675A83">
      <w:pPr>
        <w:pStyle w:val="Heading2"/>
      </w:pPr>
      <w:r>
        <w:t xml:space="preserve">Strengthening tactile learning pathways </w:t>
      </w:r>
    </w:p>
    <w:p w14:paraId="297B2021" w14:textId="4E10C591" w:rsidR="00675A83" w:rsidRDefault="00675A83" w:rsidP="00675A83">
      <w:r>
        <w:t>Blind learners often integrate touch, sound and movement to build concepts and memories. Sensory-rich approaches, including hand-under-hand guidance (see below), can support cognitive engagement, sustained participation and learning confidence.</w:t>
      </w:r>
    </w:p>
    <w:p w14:paraId="6CA71A78" w14:textId="77777777" w:rsidR="00675A83" w:rsidRDefault="46EA3011" w:rsidP="00675A83">
      <w:pPr>
        <w:pStyle w:val="Heading2"/>
      </w:pPr>
      <w:r>
        <w:t xml:space="preserve">Enhancing emotional reassurance </w:t>
      </w:r>
    </w:p>
    <w:p w14:paraId="32E4CBE3" w14:textId="11A425FA" w:rsidR="00675A83" w:rsidRDefault="00675A83" w:rsidP="00675A83">
      <w:r>
        <w:t xml:space="preserve">When introduced with consent and clear communication, Positive Touch can provide reassurance and a sense of safety, particularly for children who may feel anxious in unfamiliar learning environments. Feeling secure is fundamental to musical exploration and creativity. </w:t>
      </w:r>
    </w:p>
    <w:p w14:paraId="4630BAAE" w14:textId="77777777" w:rsidR="00675A83" w:rsidRPr="00D62D9C" w:rsidRDefault="4D404CBD" w:rsidP="00675A83">
      <w:pPr>
        <w:pStyle w:val="Heading1"/>
        <w:rPr>
          <w:b/>
          <w:bCs/>
        </w:rPr>
      </w:pPr>
      <w:bookmarkStart w:id="5" w:name="_Toc249607456"/>
      <w:bookmarkStart w:id="6" w:name="_Toc226898186"/>
      <w:r w:rsidRPr="4D404CBD">
        <w:rPr>
          <w:b/>
          <w:bCs/>
        </w:rPr>
        <w:t>Technique: Amber Sound Touch</w:t>
      </w:r>
      <w:bookmarkEnd w:id="5"/>
      <w:bookmarkEnd w:id="6"/>
      <w:r w:rsidRPr="4D404CBD">
        <w:rPr>
          <w:b/>
          <w:bCs/>
        </w:rPr>
        <w:t xml:space="preserve"> </w:t>
      </w:r>
    </w:p>
    <w:p w14:paraId="69D0C390" w14:textId="1D807F21" w:rsidR="20347728" w:rsidRDefault="00675A83">
      <w:r>
        <w:t xml:space="preserve">The Amber Sound Touch website includes a dedicated section on Positive Touch, with practical case studies drawn from teaching sessions. These examples illustrate how touch can be used ethically and effectively to support musical learning. </w:t>
      </w:r>
    </w:p>
    <w:p w14:paraId="511D9A49" w14:textId="3F0787C5" w:rsidR="00675A83" w:rsidRPr="00D62D9C" w:rsidRDefault="4D404CBD" w:rsidP="00675A83">
      <w:pPr>
        <w:pStyle w:val="Heading1"/>
        <w:rPr>
          <w:b/>
          <w:bCs/>
        </w:rPr>
      </w:pPr>
      <w:bookmarkStart w:id="7" w:name="_Toc1055110649"/>
      <w:bookmarkStart w:id="8" w:name="_Toc226898187"/>
      <w:r w:rsidRPr="4D404CBD">
        <w:rPr>
          <w:b/>
          <w:bCs/>
        </w:rPr>
        <w:t>Top Tips for Using Touch in Communication, Learning and Wellbeing</w:t>
      </w:r>
      <w:bookmarkEnd w:id="7"/>
      <w:bookmarkEnd w:id="8"/>
      <w:r w:rsidRPr="4D404CBD">
        <w:rPr>
          <w:b/>
          <w:bCs/>
        </w:rPr>
        <w:t xml:space="preserve"> </w:t>
      </w:r>
    </w:p>
    <w:p w14:paraId="72FD30E3" w14:textId="303C7860" w:rsidR="00675A83" w:rsidRDefault="00675A83" w:rsidP="00675A83">
      <w:pPr>
        <w:pStyle w:val="ListParagraph"/>
        <w:numPr>
          <w:ilvl w:val="0"/>
          <w:numId w:val="6"/>
        </w:numPr>
      </w:pPr>
      <w:r>
        <w:t xml:space="preserve">Always seek consent before initiating touch, especially with older children or those with sensory sensitivities. </w:t>
      </w:r>
    </w:p>
    <w:p w14:paraId="796FA87D" w14:textId="1AE2D637" w:rsidR="00675A83" w:rsidRDefault="00675A83" w:rsidP="00675A83">
      <w:pPr>
        <w:pStyle w:val="ListParagraph"/>
        <w:numPr>
          <w:ilvl w:val="0"/>
          <w:numId w:val="6"/>
        </w:numPr>
      </w:pPr>
      <w:r>
        <w:t xml:space="preserve">Clearly explain why touch is being used (e.g. guidance, reassurance, shared play). </w:t>
      </w:r>
    </w:p>
    <w:p w14:paraId="490F4794" w14:textId="0B40BF92" w:rsidR="00675A83" w:rsidRDefault="00675A83" w:rsidP="00675A83">
      <w:pPr>
        <w:pStyle w:val="ListParagraph"/>
        <w:numPr>
          <w:ilvl w:val="0"/>
          <w:numId w:val="6"/>
        </w:numPr>
      </w:pPr>
      <w:r>
        <w:t xml:space="preserve">Prepare the child with verbal or other cues before any physical contact. </w:t>
      </w:r>
    </w:p>
    <w:p w14:paraId="46F27A40" w14:textId="4E01F15F" w:rsidR="00675A83" w:rsidRDefault="00675A83" w:rsidP="00675A83">
      <w:pPr>
        <w:pStyle w:val="ListParagraph"/>
        <w:numPr>
          <w:ilvl w:val="0"/>
          <w:numId w:val="6"/>
        </w:numPr>
      </w:pPr>
      <w:r>
        <w:t xml:space="preserve">Use touch to support learning (for example, guiding hand movements or marking rhythm), with the aim of fostering independence over time. </w:t>
      </w:r>
    </w:p>
    <w:p w14:paraId="02C219F1" w14:textId="3B959F3B" w:rsidR="00675A83" w:rsidRDefault="00675A83" w:rsidP="00675A83">
      <w:pPr>
        <w:pStyle w:val="ListParagraph"/>
        <w:numPr>
          <w:ilvl w:val="0"/>
          <w:numId w:val="6"/>
        </w:numPr>
      </w:pPr>
      <w:r>
        <w:t xml:space="preserve">Model interactions that are respectful, developmentally appropriate and responsive to the child’s cues. </w:t>
      </w:r>
    </w:p>
    <w:p w14:paraId="56B92297" w14:textId="760A6C7A" w:rsidR="00675A83" w:rsidRDefault="00675A83" w:rsidP="00675A83">
      <w:pPr>
        <w:pStyle w:val="ListParagraph"/>
        <w:numPr>
          <w:ilvl w:val="0"/>
          <w:numId w:val="6"/>
        </w:numPr>
      </w:pPr>
      <w:r>
        <w:t xml:space="preserve">Observe verbal and non-verbal signals closely and adapt your approach as needed. </w:t>
      </w:r>
    </w:p>
    <w:p w14:paraId="3A7E04EC" w14:textId="35F35214" w:rsidR="00675A83" w:rsidRDefault="00675A83" w:rsidP="00675A83">
      <w:pPr>
        <w:pStyle w:val="ListParagraph"/>
        <w:numPr>
          <w:ilvl w:val="0"/>
          <w:numId w:val="6"/>
        </w:numPr>
      </w:pPr>
      <w:r>
        <w:lastRenderedPageBreak/>
        <w:t xml:space="preserve">Seek guidance from parents or staff if unsure. Some children may initially prefer guidance from familiar adults.  </w:t>
      </w:r>
    </w:p>
    <w:p w14:paraId="13269590" w14:textId="33C7E11A" w:rsidR="00675A83" w:rsidRDefault="00675A83" w:rsidP="00675A83">
      <w:r>
        <w:t xml:space="preserve">Hand-under-hand guidance is generally preferred to hand-over-hand. Hand-over-hand can restrict exploration and unintentionally apply pressure, whereas hand-under-hand allows the child to lead, supports discovery and usually offers more effective technical learning. Minimal fingertip guidance may be used when appropriate. </w:t>
      </w:r>
    </w:p>
    <w:p w14:paraId="15261663" w14:textId="77777777" w:rsidR="00675A83" w:rsidRPr="00D62D9C" w:rsidRDefault="4D404CBD" w:rsidP="00675A83">
      <w:pPr>
        <w:pStyle w:val="Heading1"/>
        <w:rPr>
          <w:b/>
          <w:bCs/>
        </w:rPr>
      </w:pPr>
      <w:bookmarkStart w:id="9" w:name="_Toc492628470"/>
      <w:bookmarkStart w:id="10" w:name="_Toc226898188"/>
      <w:r w:rsidRPr="4D404CBD">
        <w:rPr>
          <w:b/>
          <w:bCs/>
        </w:rPr>
        <w:t>Safeguarding</w:t>
      </w:r>
      <w:bookmarkEnd w:id="9"/>
      <w:bookmarkEnd w:id="10"/>
      <w:r w:rsidRPr="4D404CBD">
        <w:rPr>
          <w:b/>
          <w:bCs/>
        </w:rPr>
        <w:t xml:space="preserve"> </w:t>
      </w:r>
    </w:p>
    <w:p w14:paraId="25FE16E7" w14:textId="70CCB914" w:rsidR="00675A83" w:rsidRDefault="00675A83" w:rsidP="00675A83">
      <w:r>
        <w:t>When working in schools or other regulated environments, practitioners must follow the host organisation’s policy on touch and ensure staff are informed of Amber’s approach.</w:t>
      </w:r>
    </w:p>
    <w:p w14:paraId="1E69F71F" w14:textId="7055628F" w:rsidR="00675A83" w:rsidRDefault="00675A83" w:rsidP="00675A83">
      <w:r>
        <w:t>If safeguarding concerns arise while you are carrying out work funded by Amber, contact Patrick Shepherd in the first instance so that issues can be resolved. No activities involving touch should take place until this has been addressed.</w:t>
      </w:r>
    </w:p>
    <w:p w14:paraId="54D80C2E" w14:textId="61680E2A" w:rsidR="00675A83" w:rsidRDefault="00675A83" w:rsidP="00675A83">
      <w:r>
        <w:t>For further guidance, please refer to Amber’s Safeguarding Policy.</w:t>
      </w:r>
    </w:p>
    <w:p w14:paraId="7FFF74EC" w14:textId="61D2DA88" w:rsidR="00675A83" w:rsidRDefault="00675A83" w:rsidP="00675A83">
      <w:r>
        <w:t xml:space="preserve">If you have concerns or are uncertain about appropriate touch practices, contact: </w:t>
      </w:r>
    </w:p>
    <w:p w14:paraId="60DAD7B6" w14:textId="093F83AF" w:rsidR="00675A83" w:rsidRDefault="00675A83" w:rsidP="00675A83">
      <w:r>
        <w:t xml:space="preserve">Designated Safeguarding Lead (DSL): Sophie Amstell – 07585 043292 </w:t>
      </w:r>
      <w:r w:rsidR="00D62D9C">
        <w:br/>
      </w:r>
      <w:r>
        <w:t>Designated Safeguarding Person (DSP): Patrick Shepherd – 07788 824 371</w:t>
      </w:r>
    </w:p>
    <w:p w14:paraId="74178D39" w14:textId="758AE3BF" w:rsidR="00675A83" w:rsidRPr="00D62D9C" w:rsidRDefault="4D404CBD" w:rsidP="00675A83">
      <w:pPr>
        <w:pStyle w:val="Heading1"/>
        <w:rPr>
          <w:b/>
          <w:bCs/>
        </w:rPr>
      </w:pPr>
      <w:bookmarkStart w:id="11" w:name="_Toc1515056975"/>
      <w:bookmarkStart w:id="12" w:name="_Toc226898189"/>
      <w:r w:rsidRPr="4D404CBD">
        <w:rPr>
          <w:b/>
          <w:bCs/>
        </w:rPr>
        <w:t>Positive Touch: Practitioner Checklist</w:t>
      </w:r>
      <w:bookmarkEnd w:id="11"/>
      <w:bookmarkEnd w:id="12"/>
      <w:r w:rsidRPr="4D404CBD">
        <w:rPr>
          <w:b/>
          <w:bCs/>
        </w:rPr>
        <w:t xml:space="preserve"> </w:t>
      </w:r>
    </w:p>
    <w:p w14:paraId="60075F8C" w14:textId="6C501BAF" w:rsidR="00675A83" w:rsidRDefault="46EA3011" w:rsidP="00675A83">
      <w:pPr>
        <w:pStyle w:val="Heading2"/>
      </w:pPr>
      <w:r>
        <w:t xml:space="preserve">Before the session </w:t>
      </w:r>
    </w:p>
    <w:p w14:paraId="35600DFC" w14:textId="091CD177" w:rsidR="00675A83" w:rsidRDefault="00675A83" w:rsidP="00675A83">
      <w:pPr>
        <w:pStyle w:val="ListParagraph"/>
        <w:numPr>
          <w:ilvl w:val="0"/>
          <w:numId w:val="3"/>
        </w:numPr>
      </w:pPr>
      <w:r>
        <w:t xml:space="preserve">Familiarise yourself with the child’s needs, preferences and any known sensitivities </w:t>
      </w:r>
    </w:p>
    <w:p w14:paraId="009FB5E1" w14:textId="5C115EC4" w:rsidR="00675A83" w:rsidRDefault="00675A83" w:rsidP="00675A83">
      <w:pPr>
        <w:pStyle w:val="ListParagraph"/>
        <w:numPr>
          <w:ilvl w:val="0"/>
          <w:numId w:val="3"/>
        </w:numPr>
      </w:pPr>
      <w:r>
        <w:t xml:space="preserve">Check the setting’s safeguarding and touch policy </w:t>
      </w:r>
    </w:p>
    <w:p w14:paraId="502D67E7" w14:textId="7FAF8EF4" w:rsidR="00675A83" w:rsidRDefault="00675A83" w:rsidP="00675A83">
      <w:pPr>
        <w:pStyle w:val="ListParagraph"/>
        <w:numPr>
          <w:ilvl w:val="0"/>
          <w:numId w:val="3"/>
        </w:numPr>
      </w:pPr>
      <w:r>
        <w:t xml:space="preserve">Ensure another adult is present where possible (This should always be the case in sessions funded by The Amber Trust) </w:t>
      </w:r>
    </w:p>
    <w:p w14:paraId="59C162AA" w14:textId="62FD11C5" w:rsidR="00675A83" w:rsidRDefault="46EA3011" w:rsidP="00675A83">
      <w:pPr>
        <w:pStyle w:val="Heading2"/>
      </w:pPr>
      <w:r>
        <w:t xml:space="preserve">During the session </w:t>
      </w:r>
    </w:p>
    <w:p w14:paraId="06D0BE64" w14:textId="2463936D" w:rsidR="00675A83" w:rsidRDefault="00675A83" w:rsidP="00675A83">
      <w:pPr>
        <w:pStyle w:val="ListParagraph"/>
        <w:numPr>
          <w:ilvl w:val="0"/>
          <w:numId w:val="2"/>
        </w:numPr>
      </w:pPr>
      <w:r>
        <w:t xml:space="preserve">Explain what you are going to do before touching </w:t>
      </w:r>
    </w:p>
    <w:p w14:paraId="4B4ACFE2" w14:textId="0B2DC676" w:rsidR="00675A83" w:rsidRDefault="00675A83" w:rsidP="00675A83">
      <w:pPr>
        <w:pStyle w:val="ListParagraph"/>
        <w:numPr>
          <w:ilvl w:val="0"/>
          <w:numId w:val="2"/>
        </w:numPr>
      </w:pPr>
      <w:r>
        <w:t xml:space="preserve">Seek consent using words, gestures or the child’s preferred communication </w:t>
      </w:r>
    </w:p>
    <w:p w14:paraId="34392D58" w14:textId="421085B0" w:rsidR="00675A83" w:rsidRDefault="00675A83" w:rsidP="00675A83">
      <w:pPr>
        <w:pStyle w:val="ListParagraph"/>
        <w:numPr>
          <w:ilvl w:val="0"/>
          <w:numId w:val="2"/>
        </w:numPr>
      </w:pPr>
      <w:r>
        <w:t xml:space="preserve">Use hand-under-hand rather than hand-over-hand wherever possible </w:t>
      </w:r>
    </w:p>
    <w:p w14:paraId="19BB8065" w14:textId="14F8DDC4" w:rsidR="00675A83" w:rsidRDefault="00675A83" w:rsidP="00675A83">
      <w:pPr>
        <w:pStyle w:val="ListParagraph"/>
        <w:numPr>
          <w:ilvl w:val="0"/>
          <w:numId w:val="2"/>
        </w:numPr>
      </w:pPr>
      <w:r>
        <w:t xml:space="preserve">Keep touch purposeful (e.g. guiding technique, supporting orientation, reassurance) </w:t>
      </w:r>
    </w:p>
    <w:p w14:paraId="36F94950" w14:textId="4C3FC42D" w:rsidR="00675A83" w:rsidRDefault="00675A83" w:rsidP="00675A83">
      <w:pPr>
        <w:pStyle w:val="ListParagraph"/>
        <w:numPr>
          <w:ilvl w:val="0"/>
          <w:numId w:val="2"/>
        </w:numPr>
      </w:pPr>
      <w:r>
        <w:t xml:space="preserve">Watch carefully for signs of discomfort or withdrawal and respond immediately </w:t>
      </w:r>
    </w:p>
    <w:p w14:paraId="4C9315DE" w14:textId="44E09D98" w:rsidR="00675A83" w:rsidRDefault="46EA3011" w:rsidP="00675A83">
      <w:pPr>
        <w:pStyle w:val="Heading2"/>
      </w:pPr>
      <w:r>
        <w:lastRenderedPageBreak/>
        <w:t xml:space="preserve">Good practice </w:t>
      </w:r>
    </w:p>
    <w:p w14:paraId="362E1A9D" w14:textId="0A897C74" w:rsidR="00675A83" w:rsidRDefault="00675A83" w:rsidP="00675A83">
      <w:pPr>
        <w:pStyle w:val="ListParagraph"/>
        <w:numPr>
          <w:ilvl w:val="0"/>
          <w:numId w:val="1"/>
        </w:numPr>
      </w:pPr>
      <w:r>
        <w:t xml:space="preserve">Use the least amount of touch needed to support learning </w:t>
      </w:r>
    </w:p>
    <w:p w14:paraId="57EFA2B3" w14:textId="37D3AEE1" w:rsidR="00675A83" w:rsidRDefault="00675A83" w:rsidP="00675A83">
      <w:pPr>
        <w:pStyle w:val="ListParagraph"/>
        <w:numPr>
          <w:ilvl w:val="0"/>
          <w:numId w:val="1"/>
        </w:numPr>
      </w:pPr>
      <w:r>
        <w:t xml:space="preserve">Aim to reduce physical support over time to encourage independence </w:t>
      </w:r>
    </w:p>
    <w:p w14:paraId="32246A33" w14:textId="536B485E" w:rsidR="00675A83" w:rsidRDefault="00675A83" w:rsidP="00675A83">
      <w:pPr>
        <w:pStyle w:val="ListParagraph"/>
        <w:numPr>
          <w:ilvl w:val="0"/>
          <w:numId w:val="1"/>
        </w:numPr>
      </w:pPr>
      <w:r>
        <w:t xml:space="preserve">Be able to explain and justify your actions clearly to colleagues, parents or inspectors </w:t>
      </w:r>
    </w:p>
    <w:p w14:paraId="4F0396E5" w14:textId="6065C4BC" w:rsidR="00675A83" w:rsidRDefault="00675A83" w:rsidP="00675A83">
      <w:pPr>
        <w:pStyle w:val="ListParagraph"/>
        <w:numPr>
          <w:ilvl w:val="0"/>
          <w:numId w:val="1"/>
        </w:numPr>
      </w:pPr>
      <w:r>
        <w:t xml:space="preserve">Respect individual differences – some children may prefer no touch </w:t>
      </w:r>
    </w:p>
    <w:p w14:paraId="15A5A3A2" w14:textId="2AB98041" w:rsidR="00675A83" w:rsidRDefault="46EA3011" w:rsidP="00675A83">
      <w:pPr>
        <w:pStyle w:val="Heading2"/>
      </w:pPr>
      <w:r>
        <w:t xml:space="preserve">Safeguarding </w:t>
      </w:r>
    </w:p>
    <w:p w14:paraId="5A4D3215" w14:textId="2FE1B338" w:rsidR="00675A83" w:rsidRDefault="00675A83" w:rsidP="00D62D9C">
      <w:pPr>
        <w:pStyle w:val="ListParagraph"/>
        <w:numPr>
          <w:ilvl w:val="0"/>
          <w:numId w:val="5"/>
        </w:numPr>
      </w:pPr>
      <w:r>
        <w:t xml:space="preserve">Never use touch that could be misinterpreted </w:t>
      </w:r>
    </w:p>
    <w:p w14:paraId="04AA571C" w14:textId="42B08358" w:rsidR="00675A83" w:rsidRDefault="00675A83" w:rsidP="00675A83">
      <w:pPr>
        <w:pStyle w:val="ListParagraph"/>
        <w:numPr>
          <w:ilvl w:val="0"/>
          <w:numId w:val="5"/>
        </w:numPr>
      </w:pPr>
      <w:r>
        <w:t xml:space="preserve">Follow the host-organisation’s safeguarding procedures </w:t>
      </w:r>
    </w:p>
    <w:p w14:paraId="1D9DA960" w14:textId="345FDE8E" w:rsidR="20347728" w:rsidRDefault="46EA3011" w:rsidP="0090329F">
      <w:pPr>
        <w:pStyle w:val="ListParagraph"/>
        <w:numPr>
          <w:ilvl w:val="0"/>
          <w:numId w:val="5"/>
        </w:numPr>
      </w:pPr>
      <w:r>
        <w:t xml:space="preserve">Raise any concerns promptly with the Designated Safeguarding Lead </w:t>
      </w:r>
    </w:p>
    <w:p w14:paraId="1B32901C" w14:textId="78F9E7A1" w:rsidR="00675A83" w:rsidRPr="00D62D9C" w:rsidRDefault="4D404CBD" w:rsidP="00D62D9C">
      <w:pPr>
        <w:pStyle w:val="Heading1"/>
        <w:rPr>
          <w:b/>
          <w:bCs/>
        </w:rPr>
      </w:pPr>
      <w:bookmarkStart w:id="13" w:name="_Toc1149529414"/>
      <w:bookmarkStart w:id="14" w:name="_Toc226898190"/>
      <w:r w:rsidRPr="4D404CBD">
        <w:rPr>
          <w:b/>
          <w:bCs/>
        </w:rPr>
        <w:t>For parents</w:t>
      </w:r>
      <w:bookmarkEnd w:id="13"/>
      <w:bookmarkEnd w:id="14"/>
      <w:r w:rsidRPr="4D404CBD">
        <w:rPr>
          <w:b/>
          <w:bCs/>
        </w:rPr>
        <w:t xml:space="preserve"> </w:t>
      </w:r>
    </w:p>
    <w:p w14:paraId="23B5FEE3" w14:textId="34382AAB" w:rsidR="00675A83" w:rsidRDefault="46EA3011" w:rsidP="00D62D9C">
      <w:pPr>
        <w:pStyle w:val="Heading2"/>
      </w:pPr>
      <w:r>
        <w:t xml:space="preserve">Positive Touch in Music Sessions </w:t>
      </w:r>
    </w:p>
    <w:p w14:paraId="1800024A" w14:textId="77777777" w:rsidR="00675A83" w:rsidRDefault="00675A83" w:rsidP="00675A83">
      <w:r>
        <w:t xml:space="preserve">Many blind and partially sighted children learn about the world through sound and touch. In music sessions, gentle and appropriate touch can help children understand instruments, feel rhythms, and build confidence as they explore sounds. </w:t>
      </w:r>
    </w:p>
    <w:p w14:paraId="068F62DB" w14:textId="5D317C28" w:rsidR="00675A83" w:rsidRDefault="46EA3011" w:rsidP="00675A83">
      <w:r>
        <w:t>At the Amber Trust, Positive Touch means touch that is respectful, supportive and always focused on helping a child learn or feel secure. This might include guiding a</w:t>
      </w:r>
      <w:r w:rsidR="65A4D9A9">
        <w:t xml:space="preserve"> </w:t>
      </w:r>
      <w:r>
        <w:t xml:space="preserve">child’s hands on an instrument, helping them find where sounds come from, or offering reassurance when something feels new or unfamiliar. </w:t>
      </w:r>
    </w:p>
    <w:p w14:paraId="0121E145" w14:textId="77777777" w:rsidR="00675A83" w:rsidRDefault="00675A83" w:rsidP="00675A83">
      <w:r>
        <w:t xml:space="preserve">Touch is never used without care. Children are always given advance warning, their responses are closely observed, and their preferences are respected. Practitioners explain what they are doing and </w:t>
      </w:r>
      <w:proofErr w:type="gramStart"/>
      <w:r>
        <w:t>why, and</w:t>
      </w:r>
      <w:proofErr w:type="gramEnd"/>
      <w:r>
        <w:t xml:space="preserve"> aim to help children become as independent as possible over time. </w:t>
      </w:r>
    </w:p>
    <w:p w14:paraId="032ED644" w14:textId="52B10039" w:rsidR="00675A83" w:rsidRDefault="00675A83" w:rsidP="00675A83">
      <w:r>
        <w:t xml:space="preserve">Positive Touch is used alongside clear communication and safeguarding practices, so that children can enjoy music safely, confidently and at their own pace. </w:t>
      </w:r>
    </w:p>
    <w:p w14:paraId="36DEABD8" w14:textId="77777777" w:rsidR="00675A83" w:rsidRPr="00D62D9C" w:rsidRDefault="4D404CBD" w:rsidP="00D62D9C">
      <w:pPr>
        <w:pStyle w:val="Heading1"/>
        <w:rPr>
          <w:b/>
          <w:bCs/>
        </w:rPr>
      </w:pPr>
      <w:bookmarkStart w:id="15" w:name="_Toc1577971079"/>
      <w:bookmarkStart w:id="16" w:name="_Toc226898191"/>
      <w:r w:rsidRPr="4D404CBD">
        <w:rPr>
          <w:b/>
          <w:bCs/>
        </w:rPr>
        <w:t>Alignment with Ofsted / SEND / safeguarding inspection language</w:t>
      </w:r>
      <w:bookmarkEnd w:id="15"/>
      <w:bookmarkEnd w:id="16"/>
      <w:r w:rsidRPr="4D404CBD">
        <w:rPr>
          <w:b/>
          <w:bCs/>
        </w:rPr>
        <w:t xml:space="preserve"> </w:t>
      </w:r>
    </w:p>
    <w:p w14:paraId="28C80C8A" w14:textId="7029C54A" w:rsidR="00675A83" w:rsidRDefault="00675A83" w:rsidP="00D62D9C">
      <w:pPr>
        <w:pStyle w:val="ListParagraph"/>
        <w:numPr>
          <w:ilvl w:val="0"/>
          <w:numId w:val="4"/>
        </w:numPr>
      </w:pPr>
      <w:r>
        <w:t xml:space="preserve">Amber’s approach is consistent with current Ofsted, SEND and safeguarding expectations, particularly in relation to: </w:t>
      </w:r>
    </w:p>
    <w:p w14:paraId="1A99B628" w14:textId="690EEFC1" w:rsidR="00675A83" w:rsidRDefault="00675A83" w:rsidP="00D62D9C">
      <w:pPr>
        <w:pStyle w:val="ListParagraph"/>
        <w:numPr>
          <w:ilvl w:val="0"/>
          <w:numId w:val="4"/>
        </w:numPr>
      </w:pPr>
      <w:r>
        <w:t xml:space="preserve">Child-centred practice: Touch is responsive to individual needs, preferences and communication styles, supporting inclusive access to learning. </w:t>
      </w:r>
    </w:p>
    <w:p w14:paraId="15EDE3DE" w14:textId="0C9FC9D7" w:rsidR="00675A83" w:rsidRDefault="00675A83" w:rsidP="00D62D9C">
      <w:pPr>
        <w:pStyle w:val="ListParagraph"/>
        <w:numPr>
          <w:ilvl w:val="0"/>
          <w:numId w:val="4"/>
        </w:numPr>
      </w:pPr>
      <w:r>
        <w:lastRenderedPageBreak/>
        <w:t xml:space="preserve">Communication and consent: Practitioners use clear verbal and non-verbal cues, supporting children who may communicate without speech. </w:t>
      </w:r>
    </w:p>
    <w:p w14:paraId="027FF579" w14:textId="7D10B738" w:rsidR="00675A83" w:rsidRDefault="00675A83" w:rsidP="00D62D9C">
      <w:pPr>
        <w:pStyle w:val="ListParagraph"/>
        <w:numPr>
          <w:ilvl w:val="0"/>
          <w:numId w:val="4"/>
        </w:numPr>
      </w:pPr>
      <w:r>
        <w:t xml:space="preserve">Promoting independence: Physical guidance is used to scaffold learning, with a clear aim of reducing support as skills develop. </w:t>
      </w:r>
    </w:p>
    <w:p w14:paraId="43EADF1E" w14:textId="0551E612" w:rsidR="00675A83" w:rsidRDefault="00675A83" w:rsidP="00D62D9C">
      <w:pPr>
        <w:pStyle w:val="ListParagraph"/>
        <w:numPr>
          <w:ilvl w:val="0"/>
          <w:numId w:val="4"/>
        </w:numPr>
      </w:pPr>
      <w:r>
        <w:t xml:space="preserve">Wellbeing and emotional security: Practice recognises the importance of feeling safe and regulated as a foundation for learning. </w:t>
      </w:r>
    </w:p>
    <w:p w14:paraId="1E052BAA" w14:textId="748F2A06" w:rsidR="00675A83" w:rsidRDefault="00675A83" w:rsidP="00D62D9C">
      <w:pPr>
        <w:pStyle w:val="ListParagraph"/>
        <w:numPr>
          <w:ilvl w:val="0"/>
          <w:numId w:val="4"/>
        </w:numPr>
      </w:pPr>
      <w:r>
        <w:t xml:space="preserve">Safeguarding and professional boundaries: All touch is purposeful, transparent, proportionate and accountable, undertaken in line with organisational safeguarding policies and in appropriate professional contexts. </w:t>
      </w:r>
    </w:p>
    <w:p w14:paraId="1E9A5B7E" w14:textId="07DEF595" w:rsidR="00675A83" w:rsidRDefault="00675A83" w:rsidP="00D62D9C">
      <w:pPr>
        <w:pStyle w:val="ListParagraph"/>
        <w:numPr>
          <w:ilvl w:val="0"/>
          <w:numId w:val="4"/>
        </w:numPr>
      </w:pPr>
      <w:r>
        <w:t>Reasonable adjustments (Equality Act 2010): Positive Touch supports equitable access to music learning for blind and partially sighted children, including those with additional needs.</w:t>
      </w:r>
    </w:p>
    <w:sectPr w:rsidR="00675A8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A80F" w14:textId="77777777" w:rsidR="004C5EC2" w:rsidRDefault="004C5EC2">
      <w:pPr>
        <w:spacing w:after="0" w:line="240" w:lineRule="auto"/>
      </w:pPr>
      <w:r>
        <w:separator/>
      </w:r>
    </w:p>
  </w:endnote>
  <w:endnote w:type="continuationSeparator" w:id="0">
    <w:p w14:paraId="01A0831A" w14:textId="77777777" w:rsidR="004C5EC2" w:rsidRDefault="004C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0347728" w14:paraId="2355ED01" w14:textId="77777777" w:rsidTr="20347728">
      <w:trPr>
        <w:trHeight w:val="300"/>
      </w:trPr>
      <w:tc>
        <w:tcPr>
          <w:tcW w:w="3005" w:type="dxa"/>
        </w:tcPr>
        <w:p w14:paraId="095218D9" w14:textId="0076E8AB" w:rsidR="20347728" w:rsidRDefault="20347728" w:rsidP="20347728">
          <w:pPr>
            <w:pStyle w:val="Header"/>
            <w:ind w:left="-115"/>
          </w:pPr>
        </w:p>
      </w:tc>
      <w:tc>
        <w:tcPr>
          <w:tcW w:w="3005" w:type="dxa"/>
        </w:tcPr>
        <w:p w14:paraId="258AAFBB" w14:textId="46FA2FDD" w:rsidR="20347728" w:rsidRDefault="20347728" w:rsidP="20347728">
          <w:pPr>
            <w:pStyle w:val="Header"/>
            <w:jc w:val="center"/>
          </w:pPr>
          <w:r>
            <w:fldChar w:fldCharType="begin"/>
          </w:r>
          <w:r>
            <w:instrText>PAGE</w:instrText>
          </w:r>
          <w:r>
            <w:fldChar w:fldCharType="separate"/>
          </w:r>
          <w:r w:rsidR="0090329F">
            <w:rPr>
              <w:noProof/>
            </w:rPr>
            <w:t>1</w:t>
          </w:r>
          <w:r>
            <w:fldChar w:fldCharType="end"/>
          </w:r>
        </w:p>
      </w:tc>
      <w:tc>
        <w:tcPr>
          <w:tcW w:w="3005" w:type="dxa"/>
        </w:tcPr>
        <w:p w14:paraId="62487CF0" w14:textId="06494B50" w:rsidR="20347728" w:rsidRDefault="20347728" w:rsidP="20347728">
          <w:pPr>
            <w:pStyle w:val="Header"/>
            <w:ind w:right="-115"/>
            <w:jc w:val="right"/>
          </w:pPr>
        </w:p>
      </w:tc>
    </w:tr>
  </w:tbl>
  <w:p w14:paraId="41E3DFEA" w14:textId="280590A9" w:rsidR="20347728" w:rsidRDefault="20347728" w:rsidP="20347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88F6" w14:textId="77777777" w:rsidR="004C5EC2" w:rsidRDefault="004C5EC2">
      <w:pPr>
        <w:spacing w:after="0" w:line="240" w:lineRule="auto"/>
      </w:pPr>
      <w:r>
        <w:separator/>
      </w:r>
    </w:p>
  </w:footnote>
  <w:footnote w:type="continuationSeparator" w:id="0">
    <w:p w14:paraId="36AC5394" w14:textId="77777777" w:rsidR="004C5EC2" w:rsidRDefault="004C5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0347728" w14:paraId="2145503B" w14:textId="77777777" w:rsidTr="20347728">
      <w:trPr>
        <w:trHeight w:val="300"/>
      </w:trPr>
      <w:tc>
        <w:tcPr>
          <w:tcW w:w="3005" w:type="dxa"/>
        </w:tcPr>
        <w:p w14:paraId="0B41E0AD" w14:textId="1070B5D5" w:rsidR="20347728" w:rsidRDefault="20347728" w:rsidP="20347728">
          <w:pPr>
            <w:pStyle w:val="Header"/>
            <w:ind w:left="-115"/>
          </w:pPr>
        </w:p>
      </w:tc>
      <w:tc>
        <w:tcPr>
          <w:tcW w:w="3005" w:type="dxa"/>
        </w:tcPr>
        <w:p w14:paraId="1C8EC4C1" w14:textId="58366A71" w:rsidR="20347728" w:rsidRDefault="20347728" w:rsidP="20347728">
          <w:pPr>
            <w:pStyle w:val="Header"/>
            <w:jc w:val="center"/>
          </w:pPr>
        </w:p>
      </w:tc>
      <w:tc>
        <w:tcPr>
          <w:tcW w:w="3005" w:type="dxa"/>
        </w:tcPr>
        <w:p w14:paraId="6C4757FB" w14:textId="7F75128C" w:rsidR="20347728" w:rsidRDefault="20347728" w:rsidP="20347728">
          <w:pPr>
            <w:pStyle w:val="Header"/>
            <w:ind w:right="-115"/>
            <w:jc w:val="right"/>
          </w:pPr>
        </w:p>
      </w:tc>
    </w:tr>
  </w:tbl>
  <w:p w14:paraId="53207ED4" w14:textId="0CEF050E" w:rsidR="20347728" w:rsidRDefault="20347728" w:rsidP="2034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BB4"/>
    <w:multiLevelType w:val="hybridMultilevel"/>
    <w:tmpl w:val="499C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959B7"/>
    <w:multiLevelType w:val="hybridMultilevel"/>
    <w:tmpl w:val="0944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D6E82"/>
    <w:multiLevelType w:val="hybridMultilevel"/>
    <w:tmpl w:val="5C36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B7414"/>
    <w:multiLevelType w:val="hybridMultilevel"/>
    <w:tmpl w:val="E556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6605F"/>
    <w:multiLevelType w:val="hybridMultilevel"/>
    <w:tmpl w:val="DD46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46D0A"/>
    <w:multiLevelType w:val="hybridMultilevel"/>
    <w:tmpl w:val="C2A4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325032">
    <w:abstractNumId w:val="0"/>
  </w:num>
  <w:num w:numId="2" w16cid:durableId="1314722684">
    <w:abstractNumId w:val="3"/>
  </w:num>
  <w:num w:numId="3" w16cid:durableId="1407604633">
    <w:abstractNumId w:val="4"/>
  </w:num>
  <w:num w:numId="4" w16cid:durableId="2106533085">
    <w:abstractNumId w:val="5"/>
  </w:num>
  <w:num w:numId="5" w16cid:durableId="349067577">
    <w:abstractNumId w:val="1"/>
  </w:num>
  <w:num w:numId="6" w16cid:durableId="367991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83"/>
    <w:rsid w:val="00340467"/>
    <w:rsid w:val="003B4B5F"/>
    <w:rsid w:val="00416B49"/>
    <w:rsid w:val="004916FB"/>
    <w:rsid w:val="004C5EC2"/>
    <w:rsid w:val="00675A83"/>
    <w:rsid w:val="006C7A20"/>
    <w:rsid w:val="0090329F"/>
    <w:rsid w:val="00A42675"/>
    <w:rsid w:val="00D62D9C"/>
    <w:rsid w:val="00F12A4F"/>
    <w:rsid w:val="00FC2BBA"/>
    <w:rsid w:val="0209CDB5"/>
    <w:rsid w:val="02146EE6"/>
    <w:rsid w:val="07897F15"/>
    <w:rsid w:val="092C49B0"/>
    <w:rsid w:val="0B0394CC"/>
    <w:rsid w:val="0F18E3E0"/>
    <w:rsid w:val="0FFFCC2C"/>
    <w:rsid w:val="10C4E972"/>
    <w:rsid w:val="1AC662B5"/>
    <w:rsid w:val="20347728"/>
    <w:rsid w:val="25CABE28"/>
    <w:rsid w:val="38B2BAA3"/>
    <w:rsid w:val="3A66F442"/>
    <w:rsid w:val="453CB909"/>
    <w:rsid w:val="46EA3011"/>
    <w:rsid w:val="493F587F"/>
    <w:rsid w:val="4D404CBD"/>
    <w:rsid w:val="562A7A76"/>
    <w:rsid w:val="56490AB9"/>
    <w:rsid w:val="57046400"/>
    <w:rsid w:val="5ADAF0F0"/>
    <w:rsid w:val="6132E172"/>
    <w:rsid w:val="6500A33F"/>
    <w:rsid w:val="65A4D9A9"/>
    <w:rsid w:val="661D83E9"/>
    <w:rsid w:val="6EE46D0F"/>
    <w:rsid w:val="730BFF27"/>
    <w:rsid w:val="7BAE4D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528E"/>
  <w15:chartTrackingRefBased/>
  <w15:docId w15:val="{78E51DC9-6B94-4781-A0E5-B719F118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A83"/>
    <w:rPr>
      <w:rFonts w:eastAsiaTheme="majorEastAsia" w:cstheme="majorBidi"/>
      <w:color w:val="272727" w:themeColor="text1" w:themeTint="D8"/>
    </w:rPr>
  </w:style>
  <w:style w:type="paragraph" w:styleId="Title">
    <w:name w:val="Title"/>
    <w:basedOn w:val="Normal"/>
    <w:next w:val="Normal"/>
    <w:link w:val="TitleChar"/>
    <w:uiPriority w:val="10"/>
    <w:qFormat/>
    <w:rsid w:val="00675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A83"/>
    <w:pPr>
      <w:spacing w:before="160"/>
      <w:jc w:val="center"/>
    </w:pPr>
    <w:rPr>
      <w:i/>
      <w:iCs/>
      <w:color w:val="404040" w:themeColor="text1" w:themeTint="BF"/>
    </w:rPr>
  </w:style>
  <w:style w:type="character" w:customStyle="1" w:styleId="QuoteChar">
    <w:name w:val="Quote Char"/>
    <w:basedOn w:val="DefaultParagraphFont"/>
    <w:link w:val="Quote"/>
    <w:uiPriority w:val="29"/>
    <w:rsid w:val="00675A83"/>
    <w:rPr>
      <w:i/>
      <w:iCs/>
      <w:color w:val="404040" w:themeColor="text1" w:themeTint="BF"/>
    </w:rPr>
  </w:style>
  <w:style w:type="paragraph" w:styleId="ListParagraph">
    <w:name w:val="List Paragraph"/>
    <w:basedOn w:val="Normal"/>
    <w:uiPriority w:val="34"/>
    <w:qFormat/>
    <w:rsid w:val="00675A83"/>
    <w:pPr>
      <w:ind w:left="720"/>
      <w:contextualSpacing/>
    </w:pPr>
  </w:style>
  <w:style w:type="character" w:styleId="IntenseEmphasis">
    <w:name w:val="Intense Emphasis"/>
    <w:basedOn w:val="DefaultParagraphFont"/>
    <w:uiPriority w:val="21"/>
    <w:qFormat/>
    <w:rsid w:val="00675A83"/>
    <w:rPr>
      <w:i/>
      <w:iCs/>
      <w:color w:val="0F4761" w:themeColor="accent1" w:themeShade="BF"/>
    </w:rPr>
  </w:style>
  <w:style w:type="paragraph" w:styleId="IntenseQuote">
    <w:name w:val="Intense Quote"/>
    <w:basedOn w:val="Normal"/>
    <w:next w:val="Normal"/>
    <w:link w:val="IntenseQuoteChar"/>
    <w:uiPriority w:val="30"/>
    <w:qFormat/>
    <w:rsid w:val="0067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A83"/>
    <w:rPr>
      <w:i/>
      <w:iCs/>
      <w:color w:val="0F4761" w:themeColor="accent1" w:themeShade="BF"/>
    </w:rPr>
  </w:style>
  <w:style w:type="character" w:styleId="IntenseReference">
    <w:name w:val="Intense Reference"/>
    <w:basedOn w:val="DefaultParagraphFont"/>
    <w:uiPriority w:val="32"/>
    <w:qFormat/>
    <w:rsid w:val="00675A83"/>
    <w:rPr>
      <w:b/>
      <w:bCs/>
      <w:smallCaps/>
      <w:color w:val="0F4761" w:themeColor="accent1" w:themeShade="BF"/>
      <w:spacing w:val="5"/>
    </w:rPr>
  </w:style>
  <w:style w:type="paragraph" w:styleId="Header">
    <w:name w:val="header"/>
    <w:basedOn w:val="Normal"/>
    <w:uiPriority w:val="99"/>
    <w:unhideWhenUsed/>
    <w:rsid w:val="20347728"/>
    <w:pPr>
      <w:tabs>
        <w:tab w:val="center" w:pos="4680"/>
        <w:tab w:val="right" w:pos="9360"/>
      </w:tabs>
      <w:spacing w:after="0" w:line="240" w:lineRule="auto"/>
    </w:pPr>
  </w:style>
  <w:style w:type="paragraph" w:styleId="Footer">
    <w:name w:val="footer"/>
    <w:basedOn w:val="Normal"/>
    <w:uiPriority w:val="99"/>
    <w:unhideWhenUsed/>
    <w:rsid w:val="20347728"/>
    <w:pPr>
      <w:tabs>
        <w:tab w:val="center" w:pos="4680"/>
        <w:tab w:val="right" w:pos="9360"/>
      </w:tabs>
      <w:spacing w:after="0" w:line="240" w:lineRule="auto"/>
    </w:pPr>
  </w:style>
  <w:style w:type="character" w:styleId="Hyperlink">
    <w:name w:val="Hyperlink"/>
    <w:basedOn w:val="DefaultParagraphFont"/>
    <w:uiPriority w:val="99"/>
    <w:unhideWhenUsed/>
    <w:rsid w:val="20347728"/>
    <w:rPr>
      <w:color w:val="467886"/>
      <w:u w:val="single"/>
    </w:rPr>
  </w:style>
  <w:style w:type="paragraph" w:styleId="TOC1">
    <w:name w:val="toc 1"/>
    <w:basedOn w:val="Normal"/>
    <w:next w:val="Normal"/>
    <w:uiPriority w:val="39"/>
    <w:unhideWhenUsed/>
    <w:rsid w:val="20347728"/>
    <w:pPr>
      <w:spacing w:after="100"/>
    </w:pPr>
  </w:style>
  <w:style w:type="paragraph" w:styleId="TOC2">
    <w:name w:val="toc 2"/>
    <w:basedOn w:val="Normal"/>
    <w:next w:val="Normal"/>
    <w:uiPriority w:val="39"/>
    <w:unhideWhenUsed/>
    <w:rsid w:val="20347728"/>
    <w:pPr>
      <w:spacing w:after="100"/>
      <w:ind w:left="220"/>
    </w:pPr>
  </w:style>
  <w:style w:type="character" w:customStyle="1" w:styleId="normaltextrun">
    <w:name w:val="normaltextrun"/>
    <w:basedOn w:val="DefaultParagraphFont"/>
    <w:uiPriority w:val="1"/>
    <w:rsid w:val="20347728"/>
    <w:rPr>
      <w:rFonts w:asciiTheme="minorHAnsi" w:eastAsiaTheme="minorEastAsia" w:hAnsiTheme="minorHAnsi" w:cstheme="minorBidi"/>
      <w:sz w:val="22"/>
      <w:szCs w:val="22"/>
    </w:rPr>
  </w:style>
  <w:style w:type="character" w:customStyle="1" w:styleId="eop">
    <w:name w:val="eop"/>
    <w:basedOn w:val="DefaultParagraphFont"/>
    <w:uiPriority w:val="1"/>
    <w:rsid w:val="20347728"/>
    <w:rPr>
      <w:rFonts w:asciiTheme="minorHAnsi" w:eastAsiaTheme="minorEastAsia"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2b9ddf-3893-4a61-b194-435c0085391c" xsi:nil="true"/>
    <lcf76f155ced4ddcb4097134ff3c332f xmlns="077af852-b062-4fcc-aeaf-3b5627592c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04538300A4194D856922A7D59749C3" ma:contentTypeVersion="22" ma:contentTypeDescription="Create a new document." ma:contentTypeScope="" ma:versionID="d4dfcc2cd8910def64ac9956eec345ca">
  <xsd:schema xmlns:xsd="http://www.w3.org/2001/XMLSchema" xmlns:xs="http://www.w3.org/2001/XMLSchema" xmlns:p="http://schemas.microsoft.com/office/2006/metadata/properties" xmlns:ns2="522b9ddf-3893-4a61-b194-435c0085391c" xmlns:ns3="077af852-b062-4fcc-aeaf-3b5627592c7a" targetNamespace="http://schemas.microsoft.com/office/2006/metadata/properties" ma:root="true" ma:fieldsID="231814da927117ed829f669bc5369769" ns2:_="" ns3:_="">
    <xsd:import namespace="522b9ddf-3893-4a61-b194-435c0085391c"/>
    <xsd:import namespace="077af852-b062-4fcc-aeaf-3b5627592c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b9ddf-3893-4a61-b194-435c008539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8633566-cb34-4844-af23-e7e87b81bf91}" ma:internalName="TaxCatchAll" ma:showField="CatchAllData" ma:web="522b9ddf-3893-4a61-b194-435c008539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7af852-b062-4fcc-aeaf-3b5627592c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efa244-1e1f-4d8d-af5a-a5996e1f91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173CB-4599-4F5E-8087-08317F875561}">
  <ds:schemaRefs>
    <ds:schemaRef ds:uri="http://schemas.microsoft.com/office/2006/metadata/properties"/>
    <ds:schemaRef ds:uri="http://schemas.microsoft.com/office/infopath/2007/PartnerControls"/>
    <ds:schemaRef ds:uri="522b9ddf-3893-4a61-b194-435c0085391c"/>
    <ds:schemaRef ds:uri="077af852-b062-4fcc-aeaf-3b5627592c7a"/>
  </ds:schemaRefs>
</ds:datastoreItem>
</file>

<file path=customXml/itemProps2.xml><?xml version="1.0" encoding="utf-8"?>
<ds:datastoreItem xmlns:ds="http://schemas.openxmlformats.org/officeDocument/2006/customXml" ds:itemID="{6D5E0449-046C-425C-99E5-47657C975431}">
  <ds:schemaRefs>
    <ds:schemaRef ds:uri="http://schemas.microsoft.com/sharepoint/v3/contenttype/forms"/>
  </ds:schemaRefs>
</ds:datastoreItem>
</file>

<file path=customXml/itemProps3.xml><?xml version="1.0" encoding="utf-8"?>
<ds:datastoreItem xmlns:ds="http://schemas.openxmlformats.org/officeDocument/2006/customXml" ds:itemID="{D325BDFB-839A-4ACF-8D91-21370714D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b9ddf-3893-4a61-b194-435c0085391c"/>
    <ds:schemaRef ds:uri="077af852-b062-4fcc-aeaf-3b5627592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Amber Trust</dc:creator>
  <cp:keywords/>
  <dc:description/>
  <cp:lastModifiedBy>Gillian Allmark</cp:lastModifiedBy>
  <cp:revision>9</cp:revision>
  <dcterms:created xsi:type="dcterms:W3CDTF">2026-04-06T15:30:00Z</dcterms:created>
  <dcterms:modified xsi:type="dcterms:W3CDTF">2026-04-13T08:59:00Z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0x010100E204538300A4194D856922A7D59749C3</vt:lpwstr>
  </property>
  <property fmtid="{D5CDD505-2E9C-101B-9397-08002B2CF9AE}" pid="3" name="MediaServiceImageTags">
    <vt:lpwstr/>
  </property>
</Properties>
</file>