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B1ED9" w14:textId="77777777" w:rsidR="007E5C82" w:rsidRDefault="00000000">
      <w:pPr>
        <w:pStyle w:val="Title"/>
      </w:pPr>
      <w:r>
        <w:t>Musical Senses Round Table Report</w:t>
      </w:r>
    </w:p>
    <w:p w14:paraId="180B4B1E" w14:textId="77777777" w:rsidR="007E5C82" w:rsidRDefault="00000000">
      <w:r>
        <w:t>Date: 19th May 2025</w:t>
      </w:r>
    </w:p>
    <w:p w14:paraId="044D810A" w14:textId="77777777" w:rsidR="007E5C82" w:rsidRDefault="00000000">
      <w:r>
        <w:t>Compiled by: TBMH, ABRSM, RCM</w:t>
      </w:r>
    </w:p>
    <w:p w14:paraId="2C5C0685" w14:textId="77777777" w:rsidR="007E5C82" w:rsidRDefault="00000000">
      <w:pPr>
        <w:pStyle w:val="Heading1"/>
      </w:pPr>
      <w:r>
        <w:t>I. Blind and Visually Impaired (VI) Students</w:t>
      </w:r>
    </w:p>
    <w:p w14:paraId="6172E465" w14:textId="77777777" w:rsidR="007E5C82" w:rsidRDefault="00000000">
      <w:pPr>
        <w:pStyle w:val="Heading2"/>
      </w:pPr>
      <w:r>
        <w:t>Key Questions Raised</w:t>
      </w:r>
    </w:p>
    <w:p w14:paraId="0FB0ECDB" w14:textId="77777777" w:rsidR="007E5C82" w:rsidRDefault="00000000">
      <w:r>
        <w:br/>
        <w:t>• Where can educators access expertise in teaching Braille and music to VI students?</w:t>
      </w:r>
      <w:r>
        <w:br/>
        <w:t>• How can we map and clarify roles in VI music education?</w:t>
      </w:r>
      <w:r>
        <w:br/>
        <w:t>• How do we ensure meaningful access to group music-making (choirs, bands, etc.)?</w:t>
      </w:r>
      <w:r>
        <w:br/>
        <w:t>• How do we prepare young VI people for music qualifications and employment?</w:t>
      </w:r>
      <w:r>
        <w:br/>
        <w:t>• How do we promote both music literacy and aural skills?</w:t>
      </w:r>
      <w:r>
        <w:br/>
      </w:r>
    </w:p>
    <w:p w14:paraId="117B5232" w14:textId="77777777" w:rsidR="007E5C82" w:rsidRDefault="00000000">
      <w:pPr>
        <w:pStyle w:val="Heading2"/>
      </w:pPr>
      <w:r>
        <w:t>Learning Pathways and Perspectives</w:t>
      </w:r>
    </w:p>
    <w:p w14:paraId="430D0A53" w14:textId="77777777" w:rsidR="007E5C82" w:rsidRDefault="00000000">
      <w:r>
        <w:br/>
        <w:t>• Bobby – Progressed from reading notation to learning by ear due to efficiency. Found greater musical depth in aural learning but faced barriers in professional settings due to lack of sight-reading.</w:t>
      </w:r>
      <w:r>
        <w:br/>
        <w:t>• Daisy – No specialist support through early music education. Adapted with large print and ear training. Favors improvisation and teaching by ear.</w:t>
      </w:r>
      <w:r>
        <w:br/>
        <w:t>• Kate – Strong advocate for Braille music. Learned entirely by ear initially but later used Braille for higher-level study and teaching.</w:t>
      </w:r>
      <w:r>
        <w:br/>
      </w:r>
    </w:p>
    <w:p w14:paraId="6651FAE6" w14:textId="77777777" w:rsidR="007E5C82" w:rsidRDefault="00000000">
      <w:pPr>
        <w:pStyle w:val="Heading2"/>
      </w:pPr>
      <w:r>
        <w:t>Systemic Challenges</w:t>
      </w:r>
    </w:p>
    <w:p w14:paraId="72134735" w14:textId="77777777" w:rsidR="007E5C82" w:rsidRDefault="00000000">
      <w:r>
        <w:br/>
        <w:t>• Expectation that students adapt to mainstream systems, rather than systems adapting to them.</w:t>
      </w:r>
      <w:r>
        <w:br/>
        <w:t>• Delayed introduction to appropriate music resources (Braille, large print, adaptive tech).</w:t>
      </w:r>
      <w:r>
        <w:br/>
        <w:t>• Inadequate early music literacy exposure hinders access to formal qualifications later.</w:t>
      </w:r>
      <w:r>
        <w:br/>
      </w:r>
    </w:p>
    <w:p w14:paraId="689FAD8B" w14:textId="77777777" w:rsidR="007E5C82" w:rsidRDefault="00000000">
      <w:pPr>
        <w:pStyle w:val="Heading2"/>
      </w:pPr>
      <w:r>
        <w:t>Practical Tools and Resources</w:t>
      </w:r>
    </w:p>
    <w:p w14:paraId="50D19FE9" w14:textId="77777777" w:rsidR="007E5C82" w:rsidRDefault="00000000">
      <w:r>
        <w:br/>
        <w:t>• Software &amp; Tools: Musescore (Braille output), Sibelius (accessibility options), Lime Aloud, Duxbury, Sao Mai Braille.</w:t>
      </w:r>
      <w:r>
        <w:br/>
        <w:t>• Support Organisations: The Amber Trust, Gardner’s Trust, VICTA, Sound Without Sight.</w:t>
      </w:r>
      <w:r>
        <w:br/>
        <w:t>• Recommendations:</w:t>
      </w:r>
      <w:r>
        <w:br/>
      </w:r>
      <w:r>
        <w:lastRenderedPageBreak/>
        <w:t xml:space="preserve">  o Begin Braille music literacy early.</w:t>
      </w:r>
      <w:r>
        <w:br/>
        <w:t xml:space="preserve">  o Share adapted resources centrally.</w:t>
      </w:r>
      <w:r>
        <w:br/>
        <w:t xml:space="preserve">  o Invest in both aural and music literacy skills.</w:t>
      </w:r>
      <w:r>
        <w:br/>
        <w:t xml:space="preserve">  o Provide flexible exam access arrangements.</w:t>
      </w:r>
      <w:r>
        <w:br/>
        <w:t xml:space="preserve">  o Develop peer and professional shadowing opportunities.</w:t>
      </w:r>
      <w:r>
        <w:br/>
      </w:r>
    </w:p>
    <w:p w14:paraId="14F09580" w14:textId="77777777" w:rsidR="007E5C82" w:rsidRDefault="00000000">
      <w:pPr>
        <w:pStyle w:val="Heading2"/>
      </w:pPr>
      <w:r>
        <w:t>Advice to Educators and Music Hubs</w:t>
      </w:r>
    </w:p>
    <w:p w14:paraId="6CA3F988" w14:textId="77777777" w:rsidR="007E5C82" w:rsidRDefault="00000000">
      <w:r>
        <w:br/>
        <w:t>• Research technology before procurement.</w:t>
      </w:r>
      <w:r>
        <w:br/>
        <w:t>• Refer to the Curriculum Framework for VI Learners.</w:t>
      </w:r>
      <w:r>
        <w:br/>
        <w:t>• Prioritise early preparation of materials.</w:t>
      </w:r>
      <w:r>
        <w:br/>
        <w:t>• Foster incidental exposure to musical elements.</w:t>
      </w:r>
      <w:r>
        <w:br/>
        <w:t>• Ensure long-term project involvement, not just short-term interventions.</w:t>
      </w:r>
      <w:r>
        <w:br/>
        <w:t>• Encourage cross-sector collaboration, including with QTVIs and music teachers.</w:t>
      </w:r>
      <w:r>
        <w:br/>
      </w:r>
    </w:p>
    <w:p w14:paraId="69A8D2C9" w14:textId="77777777" w:rsidR="007E5C82" w:rsidRDefault="00000000">
      <w:pPr>
        <w:pStyle w:val="Heading2"/>
      </w:pPr>
      <w:r>
        <w:t>Future Actions</w:t>
      </w:r>
    </w:p>
    <w:p w14:paraId="0CAB56F1" w14:textId="77777777" w:rsidR="007E5C82" w:rsidRDefault="00000000">
      <w:r>
        <w:br/>
        <w:t>• Create a national directory of VI-specialist music educators.</w:t>
      </w:r>
      <w:r>
        <w:br/>
        <w:t>• Establish national music/Braille boot camps and holiday schemes.</w:t>
      </w:r>
      <w:r>
        <w:br/>
        <w:t>• Promote social inclusion through accessible ensemble and community group participation.</w:t>
      </w:r>
      <w:r>
        <w:br/>
        <w:t>• Encourage greater investment in training and paid shadowing opportunities.</w:t>
      </w:r>
      <w:r>
        <w:br/>
      </w:r>
    </w:p>
    <w:p w14:paraId="243320F0" w14:textId="77777777" w:rsidR="007E5C82" w:rsidRDefault="00000000">
      <w:pPr>
        <w:pStyle w:val="Heading1"/>
      </w:pPr>
      <w:r>
        <w:t>II. Deaf and Hard of Hearing (HoH) Students</w:t>
      </w:r>
    </w:p>
    <w:p w14:paraId="5883524E" w14:textId="77777777" w:rsidR="007E5C82" w:rsidRDefault="00000000">
      <w:pPr>
        <w:pStyle w:val="Heading2"/>
      </w:pPr>
      <w:r>
        <w:t>Key Discussion Themes</w:t>
      </w:r>
    </w:p>
    <w:p w14:paraId="40F9603D" w14:textId="77777777" w:rsidR="007E5C82" w:rsidRDefault="00000000">
      <w:r>
        <w:br/>
        <w:t>• Awareness &amp; Training: Widespread lack of training for mainstream educators about deafness and related complex needs.</w:t>
      </w:r>
      <w:r>
        <w:br/>
        <w:t>• Access: EHCPs do not always include music; need stronger inclusion of 1-2-1 provision and music therapy.</w:t>
      </w:r>
      <w:r>
        <w:br/>
        <w:t>• Communication: Importance of involving Teachers of the Deaf and ensuring teachers know how to reach them.</w:t>
      </w:r>
      <w:r>
        <w:br/>
        <w:t>• Representation: Role models (Deaf musicians) are critical for student motivation and identity development.</w:t>
      </w:r>
      <w:r>
        <w:br/>
      </w:r>
    </w:p>
    <w:p w14:paraId="39EDDF33" w14:textId="77777777" w:rsidR="007E5C82" w:rsidRDefault="00000000">
      <w:pPr>
        <w:pStyle w:val="Heading2"/>
      </w:pPr>
      <w:r>
        <w:t>Classroom &amp; Pedagogical Considerations</w:t>
      </w:r>
    </w:p>
    <w:p w14:paraId="7598759A" w14:textId="77777777" w:rsidR="007E5C82" w:rsidRDefault="00000000">
      <w:r>
        <w:br/>
        <w:t>• Need for visual support and rhythm/pulse-based activities.</w:t>
      </w:r>
      <w:r>
        <w:br/>
      </w:r>
      <w:r>
        <w:lastRenderedPageBreak/>
        <w:t>• Use of multiple signing systems, tailored to the child’s preferences.</w:t>
      </w:r>
      <w:r>
        <w:br/>
        <w:t>• Inclusive shows must balance broad accessibility with deep inclusivity.</w:t>
      </w:r>
      <w:r>
        <w:br/>
        <w:t>• Importance of consistent, long-term musical engagement (not one-off sessions).</w:t>
      </w:r>
      <w:r>
        <w:br/>
      </w:r>
    </w:p>
    <w:p w14:paraId="74E4791F" w14:textId="77777777" w:rsidR="007E5C82" w:rsidRDefault="00000000">
      <w:pPr>
        <w:pStyle w:val="Heading2"/>
      </w:pPr>
      <w:r>
        <w:t>Technology and Creativity</w:t>
      </w:r>
    </w:p>
    <w:p w14:paraId="7C0794EA" w14:textId="77777777" w:rsidR="007E5C82" w:rsidRDefault="00000000">
      <w:r>
        <w:br/>
        <w:t>• Greater use of technology (e.g. vibrations, visualizers, software) can support access.</w:t>
      </w:r>
      <w:r>
        <w:br/>
        <w:t>• Need to better integrate creativity and student expression in pedagogy.</w:t>
      </w:r>
      <w:r>
        <w:br/>
        <w:t>• Diverse qualification routes (e.g. RSLAwards) provide inclusive alternatives to traditional notation-heavy pathways.</w:t>
      </w:r>
      <w:r>
        <w:br/>
      </w:r>
    </w:p>
    <w:p w14:paraId="49E8E28C" w14:textId="77777777" w:rsidR="007E5C82" w:rsidRDefault="00000000">
      <w:pPr>
        <w:pStyle w:val="Heading2"/>
      </w:pPr>
      <w:r>
        <w:t>Challenges in Early Years and Beyond</w:t>
      </w:r>
    </w:p>
    <w:p w14:paraId="0647F359" w14:textId="77777777" w:rsidR="007E5C82" w:rsidRDefault="00000000">
      <w:r>
        <w:br/>
        <w:t>• Poor EYFS music access for Deaf/HoH children due to lack of specialist knowledge.</w:t>
      </w:r>
      <w:r>
        <w:br/>
        <w:t>• Limited pathways to progressive musicianship without formal notation.</w:t>
      </w:r>
      <w:r>
        <w:br/>
        <w:t>• Underrepresentation in the professional music world due to access and cost barriers (e.g. BSL training).</w:t>
      </w:r>
      <w:r>
        <w:br/>
      </w:r>
    </w:p>
    <w:p w14:paraId="114F52AF" w14:textId="77777777" w:rsidR="007E5C82" w:rsidRDefault="00000000">
      <w:pPr>
        <w:pStyle w:val="Heading2"/>
      </w:pPr>
      <w:r>
        <w:t>Key Quotes &amp; Reflections</w:t>
      </w:r>
    </w:p>
    <w:p w14:paraId="2B23C3A4" w14:textId="77777777" w:rsidR="007E5C82" w:rsidRDefault="00000000">
      <w:r>
        <w:br/>
        <w:t>• “Once you have rhythm and pulse, you can do anything.”</w:t>
      </w:r>
      <w:r>
        <w:br/>
        <w:t>• “Without 1-2-1 tuition, it makes musical learning very challenging.”</w:t>
      </w:r>
      <w:r>
        <w:br/>
        <w:t>• “Knowing the student well is everything.”</w:t>
      </w:r>
      <w:r>
        <w:br/>
      </w:r>
    </w:p>
    <w:p w14:paraId="161529AC" w14:textId="77777777" w:rsidR="007E5C82" w:rsidRDefault="00000000">
      <w:pPr>
        <w:pStyle w:val="Heading1"/>
      </w:pPr>
      <w:r>
        <w:t>III. Cross-Cutting Themes</w:t>
      </w:r>
    </w:p>
    <w:p w14:paraId="44EC5CB6" w14:textId="77777777" w:rsidR="007E5C82" w:rsidRDefault="00000000">
      <w:pPr>
        <w:pStyle w:val="Heading2"/>
      </w:pPr>
      <w:r>
        <w:t>Equity vs. Equality</w:t>
      </w:r>
    </w:p>
    <w:p w14:paraId="3AAD98EB" w14:textId="77777777" w:rsidR="007E5C82" w:rsidRDefault="00000000">
      <w:r>
        <w:t>• Environments must adapt to meet each student’s specific needs rather than assuming a one-size-fits-all model.</w:t>
      </w:r>
    </w:p>
    <w:p w14:paraId="30D0514E" w14:textId="77777777" w:rsidR="007E5C82" w:rsidRDefault="00000000">
      <w:pPr>
        <w:pStyle w:val="Heading2"/>
      </w:pPr>
      <w:r>
        <w:t>Mental Health and Social Inclusion</w:t>
      </w:r>
    </w:p>
    <w:p w14:paraId="42CBE052" w14:textId="77777777" w:rsidR="007E5C82" w:rsidRDefault="00000000">
      <w:r>
        <w:br/>
        <w:t>• Both VI and Deaf/HoH students face increased mental health risks due to exclusion and invisibility.</w:t>
      </w:r>
      <w:r>
        <w:br/>
        <w:t>• Music serves as a powerful tool for community integration and emotional expression.</w:t>
      </w:r>
      <w:r>
        <w:br/>
      </w:r>
    </w:p>
    <w:p w14:paraId="22699277" w14:textId="77777777" w:rsidR="007E5C82" w:rsidRDefault="00000000">
      <w:pPr>
        <w:pStyle w:val="Heading2"/>
      </w:pPr>
      <w:r>
        <w:lastRenderedPageBreak/>
        <w:t>Professional Development</w:t>
      </w:r>
    </w:p>
    <w:p w14:paraId="4724AF8E" w14:textId="77777777" w:rsidR="007E5C82" w:rsidRDefault="00000000">
      <w:r>
        <w:br/>
        <w:t>• Shadowing and lived experience are more impactful than generic training.</w:t>
      </w:r>
      <w:r>
        <w:br/>
        <w:t>• Barriers to upskilling (e.g., BSL training costs) hinder workforce diversity and inclusivity.</w:t>
      </w:r>
      <w:r>
        <w:br/>
      </w:r>
    </w:p>
    <w:p w14:paraId="656FA9A2" w14:textId="77777777" w:rsidR="007E5C82" w:rsidRDefault="00000000">
      <w:pPr>
        <w:pStyle w:val="Heading2"/>
      </w:pPr>
      <w:r>
        <w:t>Systemic Recommendations</w:t>
      </w:r>
    </w:p>
    <w:p w14:paraId="07CB9DE5" w14:textId="77777777" w:rsidR="007E5C82" w:rsidRDefault="00000000">
      <w:r>
        <w:br/>
        <w:t>• Invest in structured, funded pathways for teacher training and CPD.</w:t>
      </w:r>
      <w:r>
        <w:br/>
        <w:t>• Establish formal access arrangements for music across the curriculum.</w:t>
      </w:r>
      <w:r>
        <w:br/>
        <w:t>• Encourage ensemble inclusivity through minor adaptations (e.g. conductor visibility, tactile cues).</w:t>
      </w:r>
      <w:r>
        <w:br/>
      </w:r>
    </w:p>
    <w:p w14:paraId="29751F34" w14:textId="77777777" w:rsidR="007E5C82" w:rsidRDefault="00000000">
      <w:pPr>
        <w:pStyle w:val="Heading1"/>
      </w:pPr>
      <w:r>
        <w:t>Additional Insights and Recommendations</w:t>
      </w:r>
    </w:p>
    <w:p w14:paraId="0D3ACC89" w14:textId="77777777" w:rsidR="007E5C82" w:rsidRDefault="00000000">
      <w:r>
        <w:br/>
        <w:t>• Braille music is one way to access and process knowledge to produce music. But aural music skills are also hugely important to learning, particularly within folk traditions.</w:t>
      </w:r>
      <w:r>
        <w:br/>
        <w:t>• Written notation remains important for Deaf/HoH musicians. The concept of ‘sound before symbol’ needs rethinking for these learners.</w:t>
      </w:r>
      <w:r>
        <w:br/>
        <w:t>• Music tech and production tools provide valuable creative outlets for HoH and VI learners, enabling independent music creation.</w:t>
      </w:r>
      <w:r>
        <w:br/>
        <w:t>• Provision must be locally responsive yet connected to a national network. A major barrier is lack of awareness and communication pathways among parents, educators, and specialists.</w:t>
      </w:r>
      <w:r>
        <w:br/>
        <w:t>• Sustained funding is essential; reliance on short-term projects limits long-term development.</w:t>
      </w:r>
      <w:r>
        <w:br/>
        <w:t>• Capturing young people’s perspectives helps ensure provision is relevant and meaningful.</w:t>
      </w:r>
      <w:r>
        <w:br/>
        <w:t>• Intersectionality in learners with complex or multi-sensory needs must be further explored.</w:t>
      </w:r>
      <w:r>
        <w:br/>
        <w:t>• Support staff (interpreters, access workers) are critical, and career pathways into these roles must be strengthened.</w:t>
      </w:r>
      <w:r>
        <w:br/>
        <w:t>• Clarification needed between Makaton and BSL usage, and increased workforce training on this distinction.</w:t>
      </w:r>
      <w:r>
        <w:br/>
        <w:t>• Define what makes a truly ‘inclusive’ event and work toward implementing those standards.</w:t>
      </w:r>
      <w:r>
        <w:br/>
        <w:t>• Music supports social cohesion—ideas like summer camps, accessible ensembles, and residentials are powerful for youth expression and connection.</w:t>
      </w:r>
      <w:r>
        <w:br/>
      </w:r>
    </w:p>
    <w:p w14:paraId="23C5518E" w14:textId="77777777" w:rsidR="007E5C82" w:rsidRDefault="00000000">
      <w:pPr>
        <w:pStyle w:val="Heading1"/>
      </w:pPr>
      <w:r>
        <w:lastRenderedPageBreak/>
        <w:t>Conclusion</w:t>
      </w:r>
    </w:p>
    <w:p w14:paraId="63D66763" w14:textId="77777777" w:rsidR="007E5C82" w:rsidRDefault="00000000">
      <w:r>
        <w:br/>
        <w:t>Inclusive music education for Blind/VI and Deaf/HoH students requires early, flexible, and person-centred approaches. Collaboration between educators, specialists, and families is vital. Investing in tools, training, and long-term access can unlock not only musical potential but also emotional, cognitive, and social development.</w:t>
      </w:r>
      <w:r>
        <w:br/>
        <w:t>Music is not just education—it is empowerment.</w:t>
      </w:r>
      <w:r>
        <w:br/>
      </w:r>
    </w:p>
    <w:sectPr w:rsidR="007E5C8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8355490">
    <w:abstractNumId w:val="8"/>
  </w:num>
  <w:num w:numId="2" w16cid:durableId="259873912">
    <w:abstractNumId w:val="6"/>
  </w:num>
  <w:num w:numId="3" w16cid:durableId="1498568806">
    <w:abstractNumId w:val="5"/>
  </w:num>
  <w:num w:numId="4" w16cid:durableId="74133414">
    <w:abstractNumId w:val="4"/>
  </w:num>
  <w:num w:numId="5" w16cid:durableId="1296519675">
    <w:abstractNumId w:val="7"/>
  </w:num>
  <w:num w:numId="6" w16cid:durableId="85854300">
    <w:abstractNumId w:val="3"/>
  </w:num>
  <w:num w:numId="7" w16cid:durableId="658114713">
    <w:abstractNumId w:val="2"/>
  </w:num>
  <w:num w:numId="8" w16cid:durableId="459344478">
    <w:abstractNumId w:val="1"/>
  </w:num>
  <w:num w:numId="9" w16cid:durableId="12075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E5C82"/>
    <w:rsid w:val="008E3D8A"/>
    <w:rsid w:val="00AA1D8D"/>
    <w:rsid w:val="00B47730"/>
    <w:rsid w:val="00CB0664"/>
    <w:rsid w:val="00FC693F"/>
    <w:rsid w:val="00FE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2AF217"/>
  <w14:defaultImageDpi w14:val="300"/>
  <w15:docId w15:val="{172E2ECE-6BF4-5343-BB7D-584D2664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Emily Stratford</cp:lastModifiedBy>
  <cp:revision>2</cp:revision>
  <dcterms:created xsi:type="dcterms:W3CDTF">2025-05-23T15:12:00Z</dcterms:created>
  <dcterms:modified xsi:type="dcterms:W3CDTF">2025-05-23T15:12:00Z</dcterms:modified>
  <cp:category/>
</cp:coreProperties>
</file>