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865C" w14:textId="4C2230BD" w:rsidR="009D54E8" w:rsidRPr="00104C65" w:rsidRDefault="009D54E8" w:rsidP="001C4C4C">
      <w:pPr>
        <w:contextualSpacing/>
        <w:rPr>
          <w:rFonts w:ascii="Arial" w:eastAsiaTheme="majorEastAsia" w:hAnsi="Arial" w:cs="Arial"/>
          <w:spacing w:val="-10"/>
          <w:kern w:val="28"/>
          <w:sz w:val="56"/>
          <w:szCs w:val="56"/>
        </w:rPr>
      </w:pPr>
      <w:r w:rsidRPr="00104C65">
        <w:rPr>
          <w:rFonts w:ascii="Arial" w:eastAsiaTheme="majorEastAsia" w:hAnsi="Arial" w:cs="Arial"/>
          <w:spacing w:val="-10"/>
          <w:kern w:val="28"/>
          <w:sz w:val="56"/>
          <w:szCs w:val="56"/>
        </w:rPr>
        <w:t>Progression Strategy</w:t>
      </w:r>
    </w:p>
    <w:p w14:paraId="3EFB578E" w14:textId="77777777" w:rsidR="009D54E8" w:rsidRPr="00104C65" w:rsidRDefault="009D54E8" w:rsidP="001C4C4C">
      <w:pPr>
        <w:numPr>
          <w:ilvl w:val="1"/>
          <w:numId w:val="0"/>
        </w:numPr>
        <w:spacing w:after="160"/>
        <w:rPr>
          <w:rFonts w:ascii="Arial" w:eastAsiaTheme="minorEastAsia" w:hAnsi="Arial" w:cs="Arial"/>
          <w:color w:val="5A5A5A" w:themeColor="text1" w:themeTint="A5"/>
          <w:spacing w:val="15"/>
        </w:rPr>
      </w:pPr>
      <w:r w:rsidRPr="00104C65">
        <w:rPr>
          <w:rFonts w:ascii="Arial" w:eastAsiaTheme="minorEastAsia" w:hAnsi="Arial" w:cs="Arial"/>
          <w:color w:val="5A5A5A" w:themeColor="text1" w:themeTint="A5"/>
          <w:spacing w:val="15"/>
        </w:rPr>
        <w:t>Local Plan for Music Education</w:t>
      </w:r>
    </w:p>
    <w:p w14:paraId="2A78752F" w14:textId="1F7E7DDF" w:rsidR="00DD14C7" w:rsidRPr="00104C65" w:rsidRDefault="006316A4" w:rsidP="001C4C4C">
      <w:pPr>
        <w:pStyle w:val="Heading1"/>
        <w:rPr>
          <w:rFonts w:ascii="Arial" w:hAnsi="Arial" w:cs="Arial"/>
        </w:rPr>
      </w:pPr>
      <w:r w:rsidRPr="00104C65">
        <w:rPr>
          <w:rFonts w:ascii="Arial" w:hAnsi="Arial" w:cs="Arial"/>
        </w:rPr>
        <w:t>Context</w:t>
      </w:r>
    </w:p>
    <w:p w14:paraId="00FABED3" w14:textId="53721339" w:rsidR="008043F9" w:rsidRPr="00104C65" w:rsidRDefault="008043F9" w:rsidP="001C4C4C">
      <w:pPr>
        <w:rPr>
          <w:rFonts w:ascii="Arial" w:hAnsi="Arial" w:cs="Arial"/>
        </w:rPr>
      </w:pPr>
      <w:r w:rsidRPr="00104C65">
        <w:rPr>
          <w:rFonts w:ascii="Arial" w:hAnsi="Arial" w:cs="Arial"/>
          <w:noProof/>
        </w:rPr>
        <w:drawing>
          <wp:anchor distT="0" distB="0" distL="114300" distR="114300" simplePos="0" relativeHeight="251663360" behindDoc="0" locked="0" layoutInCell="1" allowOverlap="1" wp14:anchorId="1221AF1D" wp14:editId="4D9F7C4D">
            <wp:simplePos x="0" y="0"/>
            <wp:positionH relativeFrom="margin">
              <wp:align>center</wp:align>
            </wp:positionH>
            <wp:positionV relativeFrom="paragraph">
              <wp:posOffset>455295</wp:posOffset>
            </wp:positionV>
            <wp:extent cx="5226050" cy="4006850"/>
            <wp:effectExtent l="0" t="0" r="0" b="12700"/>
            <wp:wrapTopAndBottom/>
            <wp:docPr id="1987737375" name="Diagram 19877373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104C65" w:rsidRPr="00104C65">
        <w:rPr>
          <w:rFonts w:ascii="Arial" w:hAnsi="Arial" w:cs="Arial"/>
        </w:rPr>
        <w:t>Tri-borough Music</w:t>
      </w:r>
      <w:r w:rsidR="006316A4" w:rsidRPr="00104C65">
        <w:rPr>
          <w:rFonts w:ascii="Arial" w:hAnsi="Arial" w:cs="Arial"/>
        </w:rPr>
        <w:t xml:space="preserve"> Hub’s progression strategy sits at the centre of </w:t>
      </w:r>
      <w:r w:rsidR="0010374B" w:rsidRPr="00104C65">
        <w:rPr>
          <w:rFonts w:ascii="Arial" w:hAnsi="Arial" w:cs="Arial"/>
        </w:rPr>
        <w:t>several</w:t>
      </w:r>
      <w:r w:rsidR="006316A4" w:rsidRPr="00104C65">
        <w:rPr>
          <w:rFonts w:ascii="Arial" w:hAnsi="Arial" w:cs="Arial"/>
        </w:rPr>
        <w:t xml:space="preserve"> </w:t>
      </w:r>
      <w:r w:rsidR="00F84A44">
        <w:rPr>
          <w:rFonts w:ascii="Arial" w:hAnsi="Arial" w:cs="Arial"/>
        </w:rPr>
        <w:t>strands and other connected aspects of our work:</w:t>
      </w:r>
    </w:p>
    <w:p w14:paraId="676E905C" w14:textId="22B85937" w:rsidR="008043F9" w:rsidRPr="00104C65" w:rsidRDefault="008043F9" w:rsidP="001C4C4C">
      <w:pPr>
        <w:rPr>
          <w:rFonts w:ascii="Arial" w:hAnsi="Arial" w:cs="Arial"/>
        </w:rPr>
      </w:pPr>
    </w:p>
    <w:p w14:paraId="1DE88C10" w14:textId="55BF7EF6" w:rsidR="008043F9" w:rsidRPr="00104C65" w:rsidRDefault="006316A4" w:rsidP="001C4C4C">
      <w:pPr>
        <w:rPr>
          <w:rFonts w:ascii="Arial" w:hAnsi="Arial" w:cs="Arial"/>
        </w:rPr>
      </w:pPr>
      <w:r w:rsidRPr="00104C65">
        <w:rPr>
          <w:rFonts w:ascii="Arial" w:hAnsi="Arial" w:cs="Arial"/>
        </w:rPr>
        <w:t>It integrates with the annual Needs Analysis, which identifies gaps in the Hub’s offer and</w:t>
      </w:r>
      <w:r w:rsidR="00C447FB" w:rsidRPr="00104C65">
        <w:rPr>
          <w:rFonts w:ascii="Arial" w:hAnsi="Arial" w:cs="Arial"/>
        </w:rPr>
        <w:t xml:space="preserve"> informs the search for</w:t>
      </w:r>
      <w:r w:rsidRPr="00104C65">
        <w:rPr>
          <w:rFonts w:ascii="Arial" w:hAnsi="Arial" w:cs="Arial"/>
        </w:rPr>
        <w:t xml:space="preserve"> new </w:t>
      </w:r>
      <w:r w:rsidR="00C447FB" w:rsidRPr="00104C65">
        <w:rPr>
          <w:rFonts w:ascii="Arial" w:hAnsi="Arial" w:cs="Arial"/>
        </w:rPr>
        <w:t xml:space="preserve">partnerships and </w:t>
      </w:r>
      <w:r w:rsidRPr="00104C65">
        <w:rPr>
          <w:rFonts w:ascii="Arial" w:hAnsi="Arial" w:cs="Arial"/>
        </w:rPr>
        <w:t>opportunities.</w:t>
      </w:r>
    </w:p>
    <w:p w14:paraId="4BD74E15" w14:textId="77777777" w:rsidR="008043F9" w:rsidRPr="00104C65" w:rsidRDefault="008043F9" w:rsidP="001C4C4C">
      <w:pPr>
        <w:rPr>
          <w:rFonts w:ascii="Arial" w:hAnsi="Arial" w:cs="Arial"/>
        </w:rPr>
      </w:pPr>
    </w:p>
    <w:p w14:paraId="709D3CC8" w14:textId="7D51F2AA" w:rsidR="00C447FB" w:rsidRPr="00104C65" w:rsidRDefault="00F63775" w:rsidP="001C4C4C">
      <w:pPr>
        <w:rPr>
          <w:rFonts w:ascii="Arial" w:hAnsi="Arial" w:cs="Arial"/>
        </w:rPr>
      </w:pPr>
      <w:r w:rsidRPr="00104C65">
        <w:rPr>
          <w:rFonts w:ascii="Arial" w:hAnsi="Arial" w:cs="Arial"/>
        </w:rPr>
        <w:t>It further connects with schools’ own progression strategies as part of their School Music Development Plans, which will have a greater focus on progression through their own Music curricula.</w:t>
      </w:r>
    </w:p>
    <w:p w14:paraId="38F4A581" w14:textId="54664D6D" w:rsidR="00E22BB1" w:rsidRPr="00104C65" w:rsidRDefault="00E22BB1" w:rsidP="001C4C4C">
      <w:pPr>
        <w:pStyle w:val="Heading1"/>
        <w:rPr>
          <w:rFonts w:ascii="Arial" w:hAnsi="Arial" w:cs="Arial"/>
        </w:rPr>
      </w:pPr>
      <w:r w:rsidRPr="00104C65">
        <w:rPr>
          <w:rFonts w:ascii="Arial" w:hAnsi="Arial" w:cs="Arial"/>
        </w:rPr>
        <w:t>Objective</w:t>
      </w:r>
    </w:p>
    <w:p w14:paraId="089AD9D4" w14:textId="62807735" w:rsidR="00E22BB1" w:rsidRPr="00104C65" w:rsidRDefault="00E22BB1" w:rsidP="001C4C4C">
      <w:pPr>
        <w:rPr>
          <w:rFonts w:ascii="Arial" w:hAnsi="Arial" w:cs="Arial"/>
        </w:rPr>
      </w:pPr>
      <w:r w:rsidRPr="00104C65">
        <w:rPr>
          <w:rFonts w:ascii="Arial" w:hAnsi="Arial" w:cs="Arial"/>
        </w:rPr>
        <w:t xml:space="preserve">The overarching objective is to instil in students a lasting drive to advance as musicians, so that they can make independent and informed choices about the music they listen to, take part </w:t>
      </w:r>
      <w:r w:rsidR="00AB516F" w:rsidRPr="00104C65">
        <w:rPr>
          <w:rFonts w:ascii="Arial" w:hAnsi="Arial" w:cs="Arial"/>
        </w:rPr>
        <w:t>in,</w:t>
      </w:r>
      <w:r w:rsidRPr="00104C65">
        <w:rPr>
          <w:rFonts w:ascii="Arial" w:hAnsi="Arial" w:cs="Arial"/>
        </w:rPr>
        <w:t xml:space="preserve"> and create throughout their lives.</w:t>
      </w:r>
    </w:p>
    <w:p w14:paraId="7811620F" w14:textId="77777777" w:rsidR="00E22BB1" w:rsidRPr="00104C65" w:rsidRDefault="00E22BB1" w:rsidP="001C4C4C">
      <w:pPr>
        <w:rPr>
          <w:rFonts w:ascii="Arial" w:hAnsi="Arial" w:cs="Arial"/>
        </w:rPr>
      </w:pPr>
    </w:p>
    <w:p w14:paraId="0F64D84B" w14:textId="52E32C8C" w:rsidR="00E22BB1" w:rsidRPr="00104C65" w:rsidRDefault="00E22BB1" w:rsidP="001C4C4C">
      <w:pPr>
        <w:rPr>
          <w:rFonts w:ascii="Arial" w:hAnsi="Arial" w:cs="Arial"/>
        </w:rPr>
      </w:pPr>
      <w:r w:rsidRPr="00104C65">
        <w:rPr>
          <w:rFonts w:ascii="Arial" w:hAnsi="Arial" w:cs="Arial"/>
        </w:rPr>
        <w:t>We envisage a framework that supports and promotes progression, regardless of the genre(s) and tradition(s) that any individual student is working in.  We recognise that we are deve</w:t>
      </w:r>
      <w:r w:rsidR="00E76A85" w:rsidRPr="00104C65">
        <w:rPr>
          <w:rFonts w:ascii="Arial" w:hAnsi="Arial" w:cs="Arial"/>
        </w:rPr>
        <w:t>l</w:t>
      </w:r>
      <w:r w:rsidRPr="00104C65">
        <w:rPr>
          <w:rFonts w:ascii="Arial" w:hAnsi="Arial" w:cs="Arial"/>
        </w:rPr>
        <w:t>oping this within the limits of our own collective musical education, experience and understanding and therefore t</w:t>
      </w:r>
      <w:r w:rsidR="00E1236D" w:rsidRPr="00104C65">
        <w:rPr>
          <w:rFonts w:ascii="Arial" w:hAnsi="Arial" w:cs="Arial"/>
        </w:rPr>
        <w:t>h</w:t>
      </w:r>
      <w:r w:rsidRPr="00104C65">
        <w:rPr>
          <w:rFonts w:ascii="Arial" w:hAnsi="Arial" w:cs="Arial"/>
        </w:rPr>
        <w:t xml:space="preserve">e </w:t>
      </w:r>
      <w:r w:rsidR="00E76A85" w:rsidRPr="00104C65">
        <w:rPr>
          <w:rFonts w:ascii="Arial" w:hAnsi="Arial" w:cs="Arial"/>
        </w:rPr>
        <w:t>framework</w:t>
      </w:r>
      <w:r w:rsidRPr="00104C65">
        <w:rPr>
          <w:rFonts w:ascii="Arial" w:hAnsi="Arial" w:cs="Arial"/>
        </w:rPr>
        <w:t xml:space="preserve"> must be able to adapt over time to take account of new influences.</w:t>
      </w:r>
    </w:p>
    <w:p w14:paraId="727141F7" w14:textId="77777777" w:rsidR="008043F9" w:rsidRPr="00104C65" w:rsidRDefault="008043F9" w:rsidP="001C4C4C">
      <w:pPr>
        <w:rPr>
          <w:rFonts w:ascii="Arial" w:hAnsi="Arial" w:cs="Arial"/>
        </w:rPr>
      </w:pPr>
    </w:p>
    <w:p w14:paraId="1829D366" w14:textId="60C0E98A" w:rsidR="008043F9" w:rsidRDefault="008043F9" w:rsidP="001C4C4C">
      <w:pPr>
        <w:rPr>
          <w:rFonts w:ascii="Arial" w:hAnsi="Arial" w:cs="Arial"/>
        </w:rPr>
      </w:pPr>
      <w:r w:rsidRPr="00104C65">
        <w:rPr>
          <w:rFonts w:ascii="Arial" w:hAnsi="Arial" w:cs="Arial"/>
        </w:rPr>
        <w:t xml:space="preserve">In working towards this overarching objective </w:t>
      </w:r>
      <w:r w:rsidR="00235DD2">
        <w:rPr>
          <w:rFonts w:ascii="Arial" w:hAnsi="Arial" w:cs="Arial"/>
        </w:rPr>
        <w:t>Tri-borough Music</w:t>
      </w:r>
      <w:r w:rsidRPr="00104C65">
        <w:rPr>
          <w:rFonts w:ascii="Arial" w:hAnsi="Arial" w:cs="Arial"/>
        </w:rPr>
        <w:t xml:space="preserve"> Hub has set the following SMART objective(s) for 2023/24:</w:t>
      </w:r>
    </w:p>
    <w:p w14:paraId="5D58525A" w14:textId="77777777" w:rsidR="00235DD2" w:rsidRDefault="00235DD2" w:rsidP="001C4C4C">
      <w:pPr>
        <w:rPr>
          <w:rFonts w:ascii="Arial" w:hAnsi="Arial" w:cs="Arial"/>
        </w:rPr>
      </w:pPr>
    </w:p>
    <w:p w14:paraId="38383D82" w14:textId="77777777" w:rsidR="00235DD2" w:rsidRPr="00C635AE" w:rsidRDefault="00235DD2" w:rsidP="00C635AE">
      <w:pPr>
        <w:pStyle w:val="ListParagraph"/>
        <w:numPr>
          <w:ilvl w:val="0"/>
          <w:numId w:val="23"/>
        </w:numPr>
        <w:rPr>
          <w:rFonts w:ascii="Arial" w:hAnsi="Arial" w:cs="Arial"/>
        </w:rPr>
      </w:pPr>
      <w:r w:rsidRPr="00C635AE">
        <w:rPr>
          <w:rFonts w:ascii="Arial" w:hAnsi="Arial" w:cs="Arial"/>
        </w:rPr>
        <w:lastRenderedPageBreak/>
        <w:t xml:space="preserve">To increase the number of schools engaged in TBMH events, performances, and partner-linked </w:t>
      </w:r>
      <w:proofErr w:type="gramStart"/>
      <w:r w:rsidRPr="00C635AE">
        <w:rPr>
          <w:rFonts w:ascii="Arial" w:hAnsi="Arial" w:cs="Arial"/>
        </w:rPr>
        <w:t>opportunities</w:t>
      </w:r>
      <w:proofErr w:type="gramEnd"/>
    </w:p>
    <w:p w14:paraId="7B3124D0" w14:textId="33260EF1" w:rsidR="00235DD2" w:rsidRPr="00C635AE" w:rsidRDefault="00235DD2" w:rsidP="00C635AE">
      <w:pPr>
        <w:pStyle w:val="ListParagraph"/>
        <w:numPr>
          <w:ilvl w:val="0"/>
          <w:numId w:val="23"/>
        </w:numPr>
        <w:rPr>
          <w:rFonts w:ascii="Arial" w:hAnsi="Arial" w:cs="Arial"/>
        </w:rPr>
      </w:pPr>
      <w:r w:rsidRPr="00C635AE">
        <w:rPr>
          <w:rFonts w:ascii="Arial" w:hAnsi="Arial" w:cs="Arial"/>
        </w:rPr>
        <w:t>To increase engagement in our full CPD programme</w:t>
      </w:r>
    </w:p>
    <w:p w14:paraId="275E34E7" w14:textId="0D2BC0B7" w:rsidR="00235DD2" w:rsidRPr="00C635AE" w:rsidRDefault="00235DD2" w:rsidP="00C635AE">
      <w:pPr>
        <w:pStyle w:val="ListParagraph"/>
        <w:numPr>
          <w:ilvl w:val="0"/>
          <w:numId w:val="23"/>
        </w:numPr>
        <w:rPr>
          <w:rFonts w:ascii="Arial" w:hAnsi="Arial" w:cs="Arial"/>
        </w:rPr>
      </w:pPr>
      <w:r w:rsidRPr="00C635AE">
        <w:rPr>
          <w:rFonts w:ascii="Arial" w:hAnsi="Arial" w:cs="Arial"/>
        </w:rPr>
        <w:t xml:space="preserve">To develop the quality of teaching and learning offered by the TBMH </w:t>
      </w:r>
      <w:proofErr w:type="gramStart"/>
      <w:r w:rsidRPr="00C635AE">
        <w:rPr>
          <w:rFonts w:ascii="Arial" w:hAnsi="Arial" w:cs="Arial"/>
        </w:rPr>
        <w:t>tutors</w:t>
      </w:r>
      <w:proofErr w:type="gramEnd"/>
    </w:p>
    <w:p w14:paraId="642046C6" w14:textId="3E832DD0" w:rsidR="00235DD2" w:rsidRPr="00C635AE" w:rsidRDefault="00235DD2" w:rsidP="00C635AE">
      <w:pPr>
        <w:pStyle w:val="ListParagraph"/>
        <w:numPr>
          <w:ilvl w:val="0"/>
          <w:numId w:val="23"/>
        </w:numPr>
        <w:rPr>
          <w:rFonts w:ascii="Arial" w:hAnsi="Arial" w:cs="Arial"/>
        </w:rPr>
      </w:pPr>
      <w:r w:rsidRPr="00C635AE">
        <w:rPr>
          <w:rFonts w:ascii="Arial" w:hAnsi="Arial" w:cs="Arial"/>
        </w:rPr>
        <w:t xml:space="preserve">To embed and deepen the relationships with partners so that all stakeholders benefit from a varied </w:t>
      </w:r>
      <w:proofErr w:type="gramStart"/>
      <w:r w:rsidRPr="00C635AE">
        <w:rPr>
          <w:rFonts w:ascii="Arial" w:hAnsi="Arial" w:cs="Arial"/>
        </w:rPr>
        <w:t>programme</w:t>
      </w:r>
      <w:proofErr w:type="gramEnd"/>
    </w:p>
    <w:p w14:paraId="4548175C" w14:textId="42197A82" w:rsidR="00235DD2" w:rsidRPr="00C635AE" w:rsidRDefault="00235DD2" w:rsidP="00C635AE">
      <w:pPr>
        <w:pStyle w:val="ListParagraph"/>
        <w:numPr>
          <w:ilvl w:val="0"/>
          <w:numId w:val="23"/>
        </w:numPr>
        <w:rPr>
          <w:rFonts w:ascii="Arial" w:hAnsi="Arial" w:cs="Arial"/>
        </w:rPr>
      </w:pPr>
      <w:r w:rsidRPr="00C635AE">
        <w:rPr>
          <w:rFonts w:ascii="Arial" w:hAnsi="Arial" w:cs="Arial"/>
        </w:rPr>
        <w:t>To increase school engagement in their delivery of Whole Class Instrumental Learning and in reporting this to us</w:t>
      </w:r>
    </w:p>
    <w:p w14:paraId="79B500CE" w14:textId="386EF901" w:rsidR="00235DD2" w:rsidRPr="00C635AE" w:rsidRDefault="00235DD2" w:rsidP="00C635AE">
      <w:pPr>
        <w:pStyle w:val="ListParagraph"/>
        <w:numPr>
          <w:ilvl w:val="0"/>
          <w:numId w:val="23"/>
        </w:numPr>
        <w:rPr>
          <w:rFonts w:ascii="Arial" w:hAnsi="Arial" w:cs="Arial"/>
        </w:rPr>
      </w:pPr>
      <w:r w:rsidRPr="00C635AE">
        <w:rPr>
          <w:rFonts w:ascii="Arial" w:hAnsi="Arial" w:cs="Arial"/>
        </w:rPr>
        <w:t xml:space="preserve">To increase engagement of schools with the TBMH and to have a meaningful relationship with 100% of all state-maintained </w:t>
      </w:r>
      <w:proofErr w:type="gramStart"/>
      <w:r w:rsidRPr="00C635AE">
        <w:rPr>
          <w:rFonts w:ascii="Arial" w:hAnsi="Arial" w:cs="Arial"/>
        </w:rPr>
        <w:t>schools</w:t>
      </w:r>
      <w:proofErr w:type="gramEnd"/>
    </w:p>
    <w:p w14:paraId="2FECDD9E" w14:textId="4035529E" w:rsidR="00235DD2" w:rsidRPr="00C635AE" w:rsidRDefault="00235DD2" w:rsidP="00C635AE">
      <w:pPr>
        <w:pStyle w:val="ListParagraph"/>
        <w:numPr>
          <w:ilvl w:val="0"/>
          <w:numId w:val="23"/>
        </w:numPr>
        <w:rPr>
          <w:rFonts w:ascii="Arial" w:hAnsi="Arial" w:cs="Arial"/>
        </w:rPr>
      </w:pPr>
      <w:r w:rsidRPr="00C635AE">
        <w:rPr>
          <w:rFonts w:ascii="Arial" w:hAnsi="Arial" w:cs="Arial"/>
        </w:rPr>
        <w:t>To increase traded service engagement with schools and the number of pupils learning instruments/singing in small group, paired or individual lessons via the TBMH (excl. WCIL)</w:t>
      </w:r>
    </w:p>
    <w:p w14:paraId="42B631CE" w14:textId="6D4CBEB6" w:rsidR="00235DD2" w:rsidRPr="00C635AE" w:rsidRDefault="00235DD2" w:rsidP="00C635AE">
      <w:pPr>
        <w:pStyle w:val="ListParagraph"/>
        <w:numPr>
          <w:ilvl w:val="0"/>
          <w:numId w:val="23"/>
        </w:numPr>
        <w:rPr>
          <w:rFonts w:ascii="Arial" w:hAnsi="Arial" w:cs="Arial"/>
        </w:rPr>
      </w:pPr>
      <w:r w:rsidRPr="00C635AE">
        <w:rPr>
          <w:rFonts w:ascii="Arial" w:hAnsi="Arial" w:cs="Arial"/>
        </w:rPr>
        <w:t>To increase the number of pupils engaged with the TBMH’s out of school offer (ensembles, choirs, Saturday Music School, music production etc)</w:t>
      </w:r>
    </w:p>
    <w:p w14:paraId="66C36FD9" w14:textId="7E66E0B7" w:rsidR="00235DD2" w:rsidRPr="00C635AE" w:rsidRDefault="00235DD2" w:rsidP="00C635AE">
      <w:pPr>
        <w:pStyle w:val="ListParagraph"/>
        <w:numPr>
          <w:ilvl w:val="0"/>
          <w:numId w:val="23"/>
        </w:numPr>
        <w:rPr>
          <w:rFonts w:ascii="Arial" w:hAnsi="Arial" w:cs="Arial"/>
        </w:rPr>
      </w:pPr>
      <w:r w:rsidRPr="00C635AE">
        <w:rPr>
          <w:rFonts w:ascii="Arial" w:hAnsi="Arial" w:cs="Arial"/>
        </w:rPr>
        <w:t xml:space="preserve">To increase the number of pupils learning with the TBMH who have any kind of self-reported </w:t>
      </w:r>
      <w:proofErr w:type="gramStart"/>
      <w:r w:rsidRPr="00C635AE">
        <w:rPr>
          <w:rFonts w:ascii="Arial" w:hAnsi="Arial" w:cs="Arial"/>
        </w:rPr>
        <w:t>SEND</w:t>
      </w:r>
      <w:proofErr w:type="gramEnd"/>
    </w:p>
    <w:p w14:paraId="04D4AD4B" w14:textId="3C1C9263" w:rsidR="00235DD2" w:rsidRPr="00C635AE" w:rsidRDefault="00235DD2" w:rsidP="00C635AE">
      <w:pPr>
        <w:pStyle w:val="ListParagraph"/>
        <w:numPr>
          <w:ilvl w:val="0"/>
          <w:numId w:val="23"/>
        </w:numPr>
        <w:rPr>
          <w:rFonts w:ascii="Arial" w:hAnsi="Arial" w:cs="Arial"/>
        </w:rPr>
      </w:pPr>
      <w:r w:rsidRPr="00C635AE">
        <w:rPr>
          <w:rFonts w:ascii="Arial" w:hAnsi="Arial" w:cs="Arial"/>
        </w:rPr>
        <w:t>To increase the number of pupils/families being supported through financial remissions to access quality music education (scholars, bursary, pupil premium etc)</w:t>
      </w:r>
    </w:p>
    <w:p w14:paraId="5FCE2B4B" w14:textId="21FA95A9" w:rsidR="00235DD2" w:rsidRPr="00C635AE" w:rsidRDefault="00235DD2" w:rsidP="00C635AE">
      <w:pPr>
        <w:pStyle w:val="ListParagraph"/>
        <w:numPr>
          <w:ilvl w:val="0"/>
          <w:numId w:val="23"/>
        </w:numPr>
        <w:rPr>
          <w:rFonts w:ascii="Arial" w:hAnsi="Arial" w:cs="Arial"/>
        </w:rPr>
      </w:pPr>
      <w:r w:rsidRPr="00C635AE">
        <w:rPr>
          <w:rFonts w:ascii="Arial" w:hAnsi="Arial" w:cs="Arial"/>
        </w:rPr>
        <w:t>To increase involvement of vulnerable learners (Looked After Children, those from Alternative Provision settings, at risk of youth offending)</w:t>
      </w:r>
    </w:p>
    <w:p w14:paraId="0E4008F9" w14:textId="2786A3B8" w:rsidR="00235DD2" w:rsidRPr="00C635AE" w:rsidRDefault="00235DD2" w:rsidP="00C635AE">
      <w:pPr>
        <w:pStyle w:val="ListParagraph"/>
        <w:numPr>
          <w:ilvl w:val="0"/>
          <w:numId w:val="23"/>
        </w:numPr>
        <w:rPr>
          <w:rFonts w:ascii="Arial" w:hAnsi="Arial" w:cs="Arial"/>
        </w:rPr>
      </w:pPr>
      <w:r w:rsidRPr="00C635AE">
        <w:rPr>
          <w:rFonts w:ascii="Arial" w:hAnsi="Arial" w:cs="Arial"/>
        </w:rPr>
        <w:t xml:space="preserve">To ensure the financial sustainability of the TBMH is secure with a plan in place for future structures including working with our charitable </w:t>
      </w:r>
      <w:proofErr w:type="gramStart"/>
      <w:r w:rsidRPr="00C635AE">
        <w:rPr>
          <w:rFonts w:ascii="Arial" w:hAnsi="Arial" w:cs="Arial"/>
        </w:rPr>
        <w:t>arm</w:t>
      </w:r>
      <w:proofErr w:type="gramEnd"/>
    </w:p>
    <w:p w14:paraId="5649C983" w14:textId="0CE9618E" w:rsidR="00235DD2" w:rsidRPr="00C635AE" w:rsidRDefault="00235DD2" w:rsidP="00C635AE">
      <w:pPr>
        <w:pStyle w:val="ListParagraph"/>
        <w:numPr>
          <w:ilvl w:val="0"/>
          <w:numId w:val="23"/>
        </w:numPr>
        <w:rPr>
          <w:rFonts w:ascii="Arial" w:hAnsi="Arial" w:cs="Arial"/>
        </w:rPr>
      </w:pPr>
      <w:r w:rsidRPr="00C635AE">
        <w:rPr>
          <w:rFonts w:ascii="Arial" w:hAnsi="Arial" w:cs="Arial"/>
        </w:rPr>
        <w:t xml:space="preserve">To develop an Environmental Sustainability policy, and to identify and make changes where </w:t>
      </w:r>
      <w:proofErr w:type="gramStart"/>
      <w:r w:rsidRPr="00C635AE">
        <w:rPr>
          <w:rFonts w:ascii="Arial" w:hAnsi="Arial" w:cs="Arial"/>
        </w:rPr>
        <w:t>possible</w:t>
      </w:r>
      <w:proofErr w:type="gramEnd"/>
    </w:p>
    <w:p w14:paraId="0BABFEAD" w14:textId="3A5EA71D" w:rsidR="00235DD2" w:rsidRPr="00C635AE" w:rsidRDefault="00235DD2" w:rsidP="00C635AE">
      <w:pPr>
        <w:pStyle w:val="ListParagraph"/>
        <w:numPr>
          <w:ilvl w:val="0"/>
          <w:numId w:val="23"/>
        </w:numPr>
        <w:rPr>
          <w:rFonts w:ascii="Arial" w:hAnsi="Arial" w:cs="Arial"/>
        </w:rPr>
      </w:pPr>
      <w:r w:rsidRPr="00C635AE">
        <w:rPr>
          <w:rFonts w:ascii="Arial" w:hAnsi="Arial" w:cs="Arial"/>
        </w:rPr>
        <w:t xml:space="preserve">To review the entire service’s approach to instrument storage and maintenance; and to introduce a workable logging </w:t>
      </w:r>
      <w:proofErr w:type="gramStart"/>
      <w:r w:rsidRPr="00C635AE">
        <w:rPr>
          <w:rFonts w:ascii="Arial" w:hAnsi="Arial" w:cs="Arial"/>
        </w:rPr>
        <w:t>system</w:t>
      </w:r>
      <w:proofErr w:type="gramEnd"/>
    </w:p>
    <w:p w14:paraId="50B74D28" w14:textId="77777777" w:rsidR="00235DD2" w:rsidRDefault="00235DD2" w:rsidP="001C4C4C">
      <w:pPr>
        <w:rPr>
          <w:rFonts w:ascii="Arial" w:hAnsi="Arial" w:cs="Arial"/>
        </w:rPr>
      </w:pPr>
    </w:p>
    <w:p w14:paraId="5F519E5E" w14:textId="3A2CF7DA" w:rsidR="00E22BB1" w:rsidRPr="00104C65" w:rsidRDefault="00E1236D" w:rsidP="001C4C4C">
      <w:pPr>
        <w:pStyle w:val="Heading1"/>
        <w:rPr>
          <w:rFonts w:ascii="Arial" w:hAnsi="Arial" w:cs="Arial"/>
        </w:rPr>
      </w:pPr>
      <w:r w:rsidRPr="00104C65">
        <w:rPr>
          <w:rFonts w:ascii="Arial" w:hAnsi="Arial" w:cs="Arial"/>
        </w:rPr>
        <w:t xml:space="preserve">What musical progression means to </w:t>
      </w:r>
      <w:r w:rsidR="00235DD2">
        <w:rPr>
          <w:rFonts w:ascii="Arial" w:hAnsi="Arial" w:cs="Arial"/>
        </w:rPr>
        <w:t>Tri-borough Music</w:t>
      </w:r>
      <w:r w:rsidRPr="00104C65">
        <w:rPr>
          <w:rFonts w:ascii="Arial" w:hAnsi="Arial" w:cs="Arial"/>
        </w:rPr>
        <w:t xml:space="preserve"> </w:t>
      </w:r>
      <w:proofErr w:type="gramStart"/>
      <w:r w:rsidRPr="00104C65">
        <w:rPr>
          <w:rFonts w:ascii="Arial" w:hAnsi="Arial" w:cs="Arial"/>
        </w:rPr>
        <w:t>Hub</w:t>
      </w:r>
      <w:proofErr w:type="gramEnd"/>
    </w:p>
    <w:p w14:paraId="4465A27E" w14:textId="19B84D0C" w:rsidR="00E22BB1" w:rsidRPr="00104C65" w:rsidRDefault="00E22BB1" w:rsidP="001C4C4C">
      <w:pPr>
        <w:rPr>
          <w:rFonts w:ascii="Arial" w:hAnsi="Arial" w:cs="Arial"/>
        </w:rPr>
      </w:pPr>
      <w:r w:rsidRPr="00104C65">
        <w:rPr>
          <w:rFonts w:ascii="Arial" w:hAnsi="Arial" w:cs="Arial"/>
        </w:rPr>
        <w:t>We take a broad view of musical progression</w:t>
      </w:r>
      <w:r w:rsidR="00E1236D" w:rsidRPr="00104C65">
        <w:rPr>
          <w:rFonts w:ascii="Arial" w:hAnsi="Arial" w:cs="Arial"/>
        </w:rPr>
        <w:t xml:space="preserve">.  While the typical </w:t>
      </w:r>
      <w:r w:rsidR="00CF5FBC">
        <w:rPr>
          <w:rFonts w:ascii="Arial" w:hAnsi="Arial" w:cs="Arial"/>
        </w:rPr>
        <w:t xml:space="preserve">traditional </w:t>
      </w:r>
      <w:r w:rsidR="00E1236D" w:rsidRPr="00104C65">
        <w:rPr>
          <w:rFonts w:ascii="Arial" w:hAnsi="Arial" w:cs="Arial"/>
        </w:rPr>
        <w:t xml:space="preserve">pyramid model </w:t>
      </w:r>
      <w:r w:rsidR="00C635AE">
        <w:rPr>
          <w:rFonts w:ascii="Arial" w:hAnsi="Arial" w:cs="Arial"/>
        </w:rPr>
        <w:t xml:space="preserve">of progression </w:t>
      </w:r>
      <w:r w:rsidR="00E1236D" w:rsidRPr="00104C65">
        <w:rPr>
          <w:rFonts w:ascii="Arial" w:hAnsi="Arial" w:cs="Arial"/>
        </w:rPr>
        <w:t xml:space="preserve">remains </w:t>
      </w:r>
      <w:r w:rsidR="00C31DA4" w:rsidRPr="00104C65">
        <w:rPr>
          <w:rFonts w:ascii="Arial" w:hAnsi="Arial" w:cs="Arial"/>
        </w:rPr>
        <w:t>as a centrepiece of much provision</w:t>
      </w:r>
      <w:r w:rsidR="00E1236D" w:rsidRPr="00104C65">
        <w:rPr>
          <w:rFonts w:ascii="Arial" w:hAnsi="Arial" w:cs="Arial"/>
        </w:rPr>
        <w:t>, we recognise that it does not work for some learners and, indeed, it is only part of the picture for most</w:t>
      </w:r>
      <w:r w:rsidR="009E7DF7" w:rsidRPr="00104C65">
        <w:rPr>
          <w:rFonts w:ascii="Arial" w:hAnsi="Arial" w:cs="Arial"/>
        </w:rPr>
        <w:t xml:space="preserve"> (see </w:t>
      </w:r>
      <w:hyperlink r:id="rId16" w:history="1">
        <w:r w:rsidR="009E7DF7" w:rsidRPr="00104C65">
          <w:rPr>
            <w:rStyle w:val="Hyperlink"/>
            <w:rFonts w:ascii="Arial" w:hAnsi="Arial" w:cs="Arial"/>
          </w:rPr>
          <w:t>Ben Sandbrook</w:t>
        </w:r>
      </w:hyperlink>
      <w:r w:rsidR="009E7DF7" w:rsidRPr="00104C65">
        <w:rPr>
          <w:rFonts w:ascii="Arial" w:hAnsi="Arial" w:cs="Arial"/>
        </w:rPr>
        <w:t>’s work and diagram)</w:t>
      </w:r>
      <w:r w:rsidR="00E1236D" w:rsidRPr="00104C65">
        <w:rPr>
          <w:rFonts w:ascii="Arial" w:hAnsi="Arial" w:cs="Arial"/>
        </w:rPr>
        <w:t>.</w:t>
      </w:r>
    </w:p>
    <w:p w14:paraId="1BF304C8" w14:textId="77777777" w:rsidR="00C447FB" w:rsidRPr="00104C65" w:rsidRDefault="00C447FB" w:rsidP="001C4C4C">
      <w:pPr>
        <w:rPr>
          <w:rFonts w:ascii="Arial" w:hAnsi="Arial" w:cs="Arial"/>
        </w:rPr>
      </w:pPr>
    </w:p>
    <w:p w14:paraId="1E0184CA" w14:textId="3B9CC5D6" w:rsidR="009E7DF7" w:rsidRPr="00104C65" w:rsidRDefault="009E7DF7" w:rsidP="001C4C4C">
      <w:pPr>
        <w:rPr>
          <w:rFonts w:ascii="Arial" w:hAnsi="Arial" w:cs="Arial"/>
        </w:rPr>
      </w:pPr>
      <w:r w:rsidRPr="00104C65">
        <w:rPr>
          <w:rFonts w:ascii="Arial" w:hAnsi="Arial" w:cs="Arial"/>
        </w:rPr>
        <w:t>We agree with the principles identified by the Musical Progression Roundtables run by Awards for Young Musicians:</w:t>
      </w:r>
    </w:p>
    <w:p w14:paraId="3B4FFA59" w14:textId="77777777" w:rsidR="009E7DF7" w:rsidRPr="00104C65" w:rsidRDefault="009E7DF7" w:rsidP="001C4C4C">
      <w:pPr>
        <w:pStyle w:val="ListParagraph"/>
        <w:numPr>
          <w:ilvl w:val="0"/>
          <w:numId w:val="5"/>
        </w:numPr>
        <w:ind w:left="360"/>
        <w:rPr>
          <w:rFonts w:ascii="Arial" w:hAnsi="Arial" w:cs="Arial"/>
        </w:rPr>
      </w:pPr>
      <w:r w:rsidRPr="00104C65">
        <w:rPr>
          <w:rFonts w:ascii="Arial" w:hAnsi="Arial" w:cs="Arial"/>
        </w:rPr>
        <w:t>Young people must be given the agency to lead their own, individual, musical journeys.</w:t>
      </w:r>
    </w:p>
    <w:p w14:paraId="0643EE52" w14:textId="77777777" w:rsidR="009E7DF7" w:rsidRPr="00104C65" w:rsidRDefault="009E7DF7" w:rsidP="001C4C4C">
      <w:pPr>
        <w:pStyle w:val="ListParagraph"/>
        <w:numPr>
          <w:ilvl w:val="0"/>
          <w:numId w:val="5"/>
        </w:numPr>
        <w:ind w:left="360"/>
        <w:rPr>
          <w:rFonts w:ascii="Arial" w:hAnsi="Arial" w:cs="Arial"/>
        </w:rPr>
      </w:pPr>
      <w:r w:rsidRPr="00104C65">
        <w:rPr>
          <w:rFonts w:ascii="Arial" w:hAnsi="Arial" w:cs="Arial"/>
        </w:rPr>
        <w:t xml:space="preserve">A holistic music education environment is crucial to support these journeys, with many organisations and individuals together providing the key ingredients for children to </w:t>
      </w:r>
      <w:proofErr w:type="gramStart"/>
      <w:r w:rsidRPr="00104C65">
        <w:rPr>
          <w:rFonts w:ascii="Arial" w:hAnsi="Arial" w:cs="Arial"/>
        </w:rPr>
        <w:t>progress:</w:t>
      </w:r>
      <w:proofErr w:type="gramEnd"/>
      <w:r w:rsidRPr="00104C65">
        <w:rPr>
          <w:rFonts w:ascii="Arial" w:hAnsi="Arial" w:cs="Arial"/>
        </w:rPr>
        <w:t xml:space="preserve"> no one can do this on their own.</w:t>
      </w:r>
    </w:p>
    <w:p w14:paraId="771A65ED" w14:textId="77777777" w:rsidR="009E7DF7" w:rsidRPr="00104C65" w:rsidRDefault="009E7DF7" w:rsidP="001C4C4C">
      <w:pPr>
        <w:pStyle w:val="ListParagraph"/>
        <w:numPr>
          <w:ilvl w:val="0"/>
          <w:numId w:val="5"/>
        </w:numPr>
        <w:ind w:left="360"/>
        <w:rPr>
          <w:rFonts w:ascii="Arial" w:hAnsi="Arial" w:cs="Arial"/>
        </w:rPr>
      </w:pPr>
      <w:r w:rsidRPr="00104C65">
        <w:rPr>
          <w:rFonts w:ascii="Arial" w:hAnsi="Arial" w:cs="Arial"/>
        </w:rPr>
        <w:t>There are many ‘excellences’ and ‘progressions’ in music: we must not get stuck on singular or narrow definitions of either.</w:t>
      </w:r>
    </w:p>
    <w:p w14:paraId="4AC52065" w14:textId="77777777" w:rsidR="009E7DF7" w:rsidRPr="00104C65" w:rsidRDefault="009E7DF7" w:rsidP="001C4C4C">
      <w:pPr>
        <w:pStyle w:val="ListParagraph"/>
        <w:numPr>
          <w:ilvl w:val="0"/>
          <w:numId w:val="5"/>
        </w:numPr>
        <w:ind w:left="360"/>
        <w:rPr>
          <w:rFonts w:ascii="Arial" w:hAnsi="Arial" w:cs="Arial"/>
        </w:rPr>
      </w:pPr>
      <w:r w:rsidRPr="00104C65">
        <w:rPr>
          <w:rFonts w:ascii="Arial" w:hAnsi="Arial" w:cs="Arial"/>
        </w:rPr>
        <w:t>Inspiring and enriching the journeys of today’s young musicians should be our focus: we should not determine their destinations for them.</w:t>
      </w:r>
    </w:p>
    <w:p w14:paraId="0778A0BB" w14:textId="77777777" w:rsidR="009E7DF7" w:rsidRPr="00104C65" w:rsidRDefault="009E7DF7" w:rsidP="001C4C4C">
      <w:pPr>
        <w:pStyle w:val="ListParagraph"/>
        <w:numPr>
          <w:ilvl w:val="0"/>
          <w:numId w:val="5"/>
        </w:numPr>
        <w:ind w:left="360"/>
        <w:rPr>
          <w:rFonts w:ascii="Arial" w:hAnsi="Arial" w:cs="Arial"/>
        </w:rPr>
      </w:pPr>
      <w:r w:rsidRPr="00104C65">
        <w:rPr>
          <w:rFonts w:ascii="Arial" w:hAnsi="Arial" w:cs="Arial"/>
        </w:rPr>
        <w:t>Musical adults take many forms: not just performers.</w:t>
      </w:r>
    </w:p>
    <w:p w14:paraId="25D88054" w14:textId="77777777" w:rsidR="00E80CFA" w:rsidRPr="00104C65" w:rsidRDefault="00E80CFA" w:rsidP="001C4C4C">
      <w:pPr>
        <w:rPr>
          <w:rFonts w:ascii="Arial" w:hAnsi="Arial" w:cs="Arial"/>
        </w:rPr>
      </w:pPr>
    </w:p>
    <w:p w14:paraId="7CB8DB01" w14:textId="198F3300" w:rsidR="00E80CFA" w:rsidRPr="00104C65" w:rsidRDefault="00E80CFA" w:rsidP="001C4C4C">
      <w:pPr>
        <w:rPr>
          <w:rFonts w:ascii="Arial" w:hAnsi="Arial" w:cs="Arial"/>
        </w:rPr>
      </w:pPr>
      <w:r w:rsidRPr="00104C65">
        <w:rPr>
          <w:rFonts w:ascii="Arial" w:hAnsi="Arial" w:cs="Arial"/>
        </w:rPr>
        <w:t xml:space="preserve">While we acknowledge its close links with children’s progression in education and in their personal and social development, we also </w:t>
      </w:r>
      <w:r w:rsidR="006067FB" w:rsidRPr="00104C65">
        <w:rPr>
          <w:rFonts w:ascii="Arial" w:hAnsi="Arial" w:cs="Arial"/>
        </w:rPr>
        <w:t>advocate for</w:t>
      </w:r>
      <w:r w:rsidRPr="00104C65">
        <w:rPr>
          <w:rFonts w:ascii="Arial" w:hAnsi="Arial" w:cs="Arial"/>
        </w:rPr>
        <w:t xml:space="preserve"> musical progression</w:t>
      </w:r>
      <w:r w:rsidR="006067FB" w:rsidRPr="00104C65">
        <w:rPr>
          <w:rFonts w:ascii="Arial" w:hAnsi="Arial" w:cs="Arial"/>
        </w:rPr>
        <w:t xml:space="preserve">’s </w:t>
      </w:r>
      <w:r w:rsidRPr="00104C65">
        <w:rPr>
          <w:rFonts w:ascii="Arial" w:hAnsi="Arial" w:cs="Arial"/>
        </w:rPr>
        <w:t>own intrinsic value.</w:t>
      </w:r>
    </w:p>
    <w:p w14:paraId="14163D70" w14:textId="77777777" w:rsidR="00E76A85" w:rsidRPr="00104C65" w:rsidRDefault="00E76A85" w:rsidP="001C4C4C">
      <w:pPr>
        <w:rPr>
          <w:rFonts w:ascii="Arial" w:hAnsi="Arial" w:cs="Arial"/>
        </w:rPr>
      </w:pPr>
    </w:p>
    <w:p w14:paraId="66EBF093" w14:textId="77777777" w:rsidR="00A908A8" w:rsidRPr="00104C65" w:rsidRDefault="00A908A8" w:rsidP="001C4C4C">
      <w:pPr>
        <w:keepNext/>
        <w:keepLines/>
        <w:spacing w:before="240"/>
        <w:outlineLvl w:val="0"/>
        <w:rPr>
          <w:rFonts w:ascii="Arial" w:eastAsiaTheme="majorEastAsia" w:hAnsi="Arial" w:cs="Arial"/>
          <w:color w:val="79172C" w:themeColor="accent1" w:themeShade="BF"/>
          <w:sz w:val="32"/>
          <w:szCs w:val="32"/>
        </w:rPr>
      </w:pPr>
      <w:r w:rsidRPr="00104C65">
        <w:rPr>
          <w:rFonts w:ascii="Arial" w:eastAsiaTheme="majorEastAsia" w:hAnsi="Arial" w:cs="Arial"/>
          <w:color w:val="79172C" w:themeColor="accent1" w:themeShade="BF"/>
          <w:sz w:val="32"/>
          <w:szCs w:val="32"/>
        </w:rPr>
        <w:lastRenderedPageBreak/>
        <w:t>Data and information</w:t>
      </w:r>
    </w:p>
    <w:p w14:paraId="04793403" w14:textId="32F8F613" w:rsidR="00A908A8" w:rsidRPr="00104C65" w:rsidRDefault="00235DD2" w:rsidP="001C4C4C">
      <w:pPr>
        <w:rPr>
          <w:rFonts w:ascii="Arial" w:hAnsi="Arial" w:cs="Arial"/>
        </w:rPr>
      </w:pPr>
      <w:r>
        <w:rPr>
          <w:rFonts w:ascii="Arial" w:hAnsi="Arial" w:cs="Arial"/>
        </w:rPr>
        <w:t>Tri-borough Music</w:t>
      </w:r>
      <w:r w:rsidR="00A908A8" w:rsidRPr="00104C65">
        <w:rPr>
          <w:rFonts w:ascii="Arial" w:hAnsi="Arial" w:cs="Arial"/>
        </w:rPr>
        <w:t xml:space="preserve"> Hub collects and uses a wide range of data to inform and monitor this Progression Strategy.  We aim to achieve a balance of hard/soft and qualitative/quantitative data.  Sources include:</w:t>
      </w:r>
    </w:p>
    <w:p w14:paraId="38CD0D30" w14:textId="77777777" w:rsidR="00A908A8" w:rsidRPr="00104C65" w:rsidRDefault="00A908A8" w:rsidP="001C4C4C">
      <w:pPr>
        <w:numPr>
          <w:ilvl w:val="0"/>
          <w:numId w:val="11"/>
        </w:numPr>
        <w:ind w:left="360"/>
        <w:contextualSpacing/>
        <w:rPr>
          <w:rFonts w:ascii="Arial" w:hAnsi="Arial" w:cs="Arial"/>
          <w:kern w:val="2"/>
          <w14:ligatures w14:val="standardContextual"/>
        </w:rPr>
      </w:pPr>
      <w:r w:rsidRPr="00104C65">
        <w:rPr>
          <w:rFonts w:ascii="Arial" w:hAnsi="Arial" w:cs="Arial"/>
          <w:kern w:val="2"/>
          <w14:ligatures w14:val="standardContextual"/>
        </w:rPr>
        <w:t>Pupil-level teaching and assessment data</w:t>
      </w:r>
    </w:p>
    <w:p w14:paraId="2D7FC9D3" w14:textId="77777777" w:rsidR="00A908A8" w:rsidRPr="00104C65" w:rsidRDefault="00A908A8" w:rsidP="001C4C4C">
      <w:pPr>
        <w:numPr>
          <w:ilvl w:val="0"/>
          <w:numId w:val="11"/>
        </w:numPr>
        <w:ind w:left="360"/>
        <w:contextualSpacing/>
        <w:rPr>
          <w:rFonts w:ascii="Arial" w:hAnsi="Arial" w:cs="Arial"/>
          <w:kern w:val="2"/>
          <w14:ligatures w14:val="standardContextual"/>
        </w:rPr>
      </w:pPr>
      <w:r w:rsidRPr="00104C65">
        <w:rPr>
          <w:rFonts w:ascii="Arial" w:hAnsi="Arial" w:cs="Arial"/>
          <w:kern w:val="2"/>
          <w14:ligatures w14:val="standardContextual"/>
        </w:rPr>
        <w:t>Ensemble and choir memberships</w:t>
      </w:r>
    </w:p>
    <w:p w14:paraId="1A6E5FE6" w14:textId="77777777" w:rsidR="00A908A8" w:rsidRPr="00104C65" w:rsidRDefault="00A908A8" w:rsidP="001C4C4C">
      <w:pPr>
        <w:numPr>
          <w:ilvl w:val="0"/>
          <w:numId w:val="11"/>
        </w:numPr>
        <w:ind w:left="360"/>
        <w:contextualSpacing/>
        <w:rPr>
          <w:rFonts w:ascii="Arial" w:hAnsi="Arial" w:cs="Arial"/>
          <w:kern w:val="2"/>
          <w14:ligatures w14:val="standardContextual"/>
        </w:rPr>
      </w:pPr>
      <w:r w:rsidRPr="00104C65">
        <w:rPr>
          <w:rFonts w:ascii="Arial" w:hAnsi="Arial" w:cs="Arial"/>
          <w:kern w:val="2"/>
          <w14:ligatures w14:val="standardContextual"/>
        </w:rPr>
        <w:t>Grade exam data</w:t>
      </w:r>
    </w:p>
    <w:p w14:paraId="1761AF88" w14:textId="77777777" w:rsidR="00A908A8" w:rsidRPr="00104C65" w:rsidRDefault="00A908A8" w:rsidP="001C4C4C">
      <w:pPr>
        <w:numPr>
          <w:ilvl w:val="0"/>
          <w:numId w:val="11"/>
        </w:numPr>
        <w:ind w:left="360"/>
        <w:contextualSpacing/>
        <w:rPr>
          <w:rFonts w:ascii="Arial" w:hAnsi="Arial" w:cs="Arial"/>
          <w:kern w:val="2"/>
          <w14:ligatures w14:val="standardContextual"/>
        </w:rPr>
      </w:pPr>
      <w:r w:rsidRPr="00104C65">
        <w:rPr>
          <w:rFonts w:ascii="Arial" w:hAnsi="Arial" w:cs="Arial"/>
          <w:kern w:val="2"/>
          <w14:ligatures w14:val="standardContextual"/>
        </w:rPr>
        <w:t>School ensemble provision</w:t>
      </w:r>
    </w:p>
    <w:p w14:paraId="1997B7FF" w14:textId="77777777" w:rsidR="00A908A8" w:rsidRPr="00104C65" w:rsidRDefault="00A908A8" w:rsidP="001C4C4C">
      <w:pPr>
        <w:numPr>
          <w:ilvl w:val="0"/>
          <w:numId w:val="11"/>
        </w:numPr>
        <w:ind w:left="360"/>
        <w:contextualSpacing/>
        <w:rPr>
          <w:rFonts w:ascii="Arial" w:hAnsi="Arial" w:cs="Arial"/>
          <w:kern w:val="2"/>
          <w14:ligatures w14:val="standardContextual"/>
        </w:rPr>
      </w:pPr>
      <w:r w:rsidRPr="00104C65">
        <w:rPr>
          <w:rFonts w:ascii="Arial" w:hAnsi="Arial" w:cs="Arial"/>
          <w:kern w:val="2"/>
          <w14:ligatures w14:val="standardContextual"/>
        </w:rPr>
        <w:t>Whole Class Ensemble Tuition provision (hub-led, school-</w:t>
      </w:r>
      <w:proofErr w:type="gramStart"/>
      <w:r w:rsidRPr="00104C65">
        <w:rPr>
          <w:rFonts w:ascii="Arial" w:hAnsi="Arial" w:cs="Arial"/>
          <w:kern w:val="2"/>
          <w14:ligatures w14:val="standardContextual"/>
        </w:rPr>
        <w:t>led</w:t>
      </w:r>
      <w:proofErr w:type="gramEnd"/>
      <w:r w:rsidRPr="00104C65">
        <w:rPr>
          <w:rFonts w:ascii="Arial" w:hAnsi="Arial" w:cs="Arial"/>
          <w:kern w:val="2"/>
          <w14:ligatures w14:val="standardContextual"/>
        </w:rPr>
        <w:t xml:space="preserve"> and other)</w:t>
      </w:r>
    </w:p>
    <w:p w14:paraId="6C7A5EF7" w14:textId="77777777" w:rsidR="00A908A8" w:rsidRPr="00104C65" w:rsidRDefault="00A908A8" w:rsidP="001C4C4C">
      <w:pPr>
        <w:numPr>
          <w:ilvl w:val="0"/>
          <w:numId w:val="11"/>
        </w:numPr>
        <w:ind w:left="360"/>
        <w:contextualSpacing/>
        <w:rPr>
          <w:rFonts w:ascii="Arial" w:hAnsi="Arial" w:cs="Arial"/>
          <w:kern w:val="2"/>
          <w14:ligatures w14:val="standardContextual"/>
        </w:rPr>
      </w:pPr>
      <w:r w:rsidRPr="00104C65">
        <w:rPr>
          <w:rFonts w:ascii="Arial" w:hAnsi="Arial" w:cs="Arial"/>
          <w:kern w:val="2"/>
          <w14:ligatures w14:val="standardContextual"/>
        </w:rPr>
        <w:t>Whole Class Ensemble Tuition continuation rates</w:t>
      </w:r>
    </w:p>
    <w:p w14:paraId="2D9A25D0" w14:textId="77777777" w:rsidR="00A908A8" w:rsidRPr="00104C65" w:rsidRDefault="00A908A8" w:rsidP="001C4C4C">
      <w:pPr>
        <w:numPr>
          <w:ilvl w:val="0"/>
          <w:numId w:val="11"/>
        </w:numPr>
        <w:ind w:left="360"/>
        <w:contextualSpacing/>
        <w:rPr>
          <w:rFonts w:ascii="Arial" w:hAnsi="Arial" w:cs="Arial"/>
          <w:kern w:val="2"/>
          <w14:ligatures w14:val="standardContextual"/>
        </w:rPr>
      </w:pPr>
      <w:r w:rsidRPr="00104C65">
        <w:rPr>
          <w:rFonts w:ascii="Arial" w:hAnsi="Arial" w:cs="Arial"/>
          <w:kern w:val="2"/>
          <w14:ligatures w14:val="standardContextual"/>
        </w:rPr>
        <w:t>Provision via SLAs with schools</w:t>
      </w:r>
    </w:p>
    <w:p w14:paraId="0DA96E9D" w14:textId="77777777" w:rsidR="00A908A8" w:rsidRPr="00104C65" w:rsidRDefault="00A908A8" w:rsidP="001C4C4C">
      <w:pPr>
        <w:numPr>
          <w:ilvl w:val="0"/>
          <w:numId w:val="11"/>
        </w:numPr>
        <w:ind w:left="360"/>
        <w:contextualSpacing/>
        <w:rPr>
          <w:rFonts w:ascii="Arial" w:hAnsi="Arial" w:cs="Arial"/>
          <w:kern w:val="2"/>
          <w14:ligatures w14:val="standardContextual"/>
        </w:rPr>
      </w:pPr>
      <w:r w:rsidRPr="00104C65">
        <w:rPr>
          <w:rFonts w:ascii="Arial" w:hAnsi="Arial" w:cs="Arial"/>
          <w:kern w:val="2"/>
          <w14:ligatures w14:val="standardContextual"/>
        </w:rPr>
        <w:t>Financial records</w:t>
      </w:r>
    </w:p>
    <w:p w14:paraId="7C1EA3A8" w14:textId="5A4F7441" w:rsidR="001E4FC5" w:rsidRDefault="001E4FC5" w:rsidP="001C4C4C">
      <w:pPr>
        <w:numPr>
          <w:ilvl w:val="0"/>
          <w:numId w:val="11"/>
        </w:numPr>
        <w:ind w:left="360"/>
        <w:contextualSpacing/>
        <w:rPr>
          <w:rFonts w:ascii="Arial" w:hAnsi="Arial" w:cs="Arial"/>
          <w:kern w:val="2"/>
          <w14:ligatures w14:val="standardContextual"/>
        </w:rPr>
      </w:pPr>
      <w:r>
        <w:rPr>
          <w:rFonts w:ascii="Arial" w:hAnsi="Arial" w:cs="Arial"/>
          <w:kern w:val="2"/>
          <w14:ligatures w14:val="standardContextual"/>
        </w:rPr>
        <w:t>Youth Voice contributions</w:t>
      </w:r>
    </w:p>
    <w:p w14:paraId="38052C8A" w14:textId="72AD4435" w:rsidR="00A908A8" w:rsidRPr="00104C65" w:rsidRDefault="00A908A8" w:rsidP="001C4C4C">
      <w:pPr>
        <w:numPr>
          <w:ilvl w:val="0"/>
          <w:numId w:val="11"/>
        </w:numPr>
        <w:ind w:left="360"/>
        <w:contextualSpacing/>
        <w:rPr>
          <w:rFonts w:ascii="Arial" w:hAnsi="Arial" w:cs="Arial"/>
          <w:kern w:val="2"/>
          <w14:ligatures w14:val="standardContextual"/>
        </w:rPr>
      </w:pPr>
      <w:r w:rsidRPr="00104C65">
        <w:rPr>
          <w:rFonts w:ascii="Arial" w:hAnsi="Arial" w:cs="Arial"/>
          <w:kern w:val="2"/>
          <w14:ligatures w14:val="standardContextual"/>
        </w:rPr>
        <w:t>Student longevity</w:t>
      </w:r>
    </w:p>
    <w:p w14:paraId="398A8A1E" w14:textId="77777777" w:rsidR="00A908A8" w:rsidRPr="00104C65" w:rsidRDefault="00A908A8" w:rsidP="001C4C4C">
      <w:pPr>
        <w:numPr>
          <w:ilvl w:val="0"/>
          <w:numId w:val="11"/>
        </w:numPr>
        <w:ind w:left="360"/>
        <w:contextualSpacing/>
        <w:rPr>
          <w:rFonts w:ascii="Arial" w:hAnsi="Arial" w:cs="Arial"/>
          <w:kern w:val="2"/>
          <w14:ligatures w14:val="standardContextual"/>
        </w:rPr>
      </w:pPr>
      <w:r w:rsidRPr="00104C65">
        <w:rPr>
          <w:rFonts w:ascii="Arial" w:hAnsi="Arial" w:cs="Arial"/>
          <w:kern w:val="2"/>
          <w14:ligatures w14:val="standardContextual"/>
        </w:rPr>
        <w:t>Student destination data (</w:t>
      </w:r>
      <w:proofErr w:type="gramStart"/>
      <w:r w:rsidRPr="00104C65">
        <w:rPr>
          <w:rFonts w:ascii="Arial" w:hAnsi="Arial" w:cs="Arial"/>
          <w:kern w:val="2"/>
          <w14:ligatures w14:val="standardContextual"/>
        </w:rPr>
        <w:t>e.g.</w:t>
      </w:r>
      <w:proofErr w:type="gramEnd"/>
      <w:r w:rsidRPr="00104C65">
        <w:rPr>
          <w:rFonts w:ascii="Arial" w:hAnsi="Arial" w:cs="Arial"/>
          <w:kern w:val="2"/>
          <w14:ligatures w14:val="standardContextual"/>
        </w:rPr>
        <w:t xml:space="preserve"> into further musical study)</w:t>
      </w:r>
    </w:p>
    <w:p w14:paraId="12E16E87" w14:textId="77777777" w:rsidR="00A908A8" w:rsidRPr="00104C65" w:rsidRDefault="00A908A8" w:rsidP="001C4C4C">
      <w:pPr>
        <w:numPr>
          <w:ilvl w:val="0"/>
          <w:numId w:val="11"/>
        </w:numPr>
        <w:ind w:left="360"/>
        <w:contextualSpacing/>
        <w:rPr>
          <w:rFonts w:ascii="Arial" w:hAnsi="Arial" w:cs="Arial"/>
          <w:kern w:val="2"/>
          <w14:ligatures w14:val="standardContextual"/>
        </w:rPr>
      </w:pPr>
      <w:r w:rsidRPr="00104C65">
        <w:rPr>
          <w:rFonts w:ascii="Arial" w:hAnsi="Arial" w:cs="Arial"/>
          <w:kern w:val="2"/>
          <w14:ligatures w14:val="standardContextual"/>
        </w:rPr>
        <w:t>Ad hoc intelligence</w:t>
      </w:r>
    </w:p>
    <w:p w14:paraId="6D59EB69" w14:textId="77777777" w:rsidR="00A908A8" w:rsidRPr="00104C65" w:rsidRDefault="00A908A8" w:rsidP="001C4C4C">
      <w:pPr>
        <w:numPr>
          <w:ilvl w:val="0"/>
          <w:numId w:val="11"/>
        </w:numPr>
        <w:ind w:left="360"/>
        <w:contextualSpacing/>
        <w:rPr>
          <w:rFonts w:ascii="Arial" w:hAnsi="Arial" w:cs="Arial"/>
          <w:kern w:val="2"/>
          <w14:ligatures w14:val="standardContextual"/>
        </w:rPr>
      </w:pPr>
      <w:r w:rsidRPr="00104C65">
        <w:rPr>
          <w:rFonts w:ascii="Arial" w:hAnsi="Arial" w:cs="Arial"/>
          <w:kern w:val="2"/>
          <w14:ligatures w14:val="standardContextual"/>
        </w:rPr>
        <w:t>Formal customer feedback (complaints and compliments)</w:t>
      </w:r>
    </w:p>
    <w:p w14:paraId="2DA90817" w14:textId="77777777" w:rsidR="00A908A8" w:rsidRPr="00104C65" w:rsidRDefault="00A908A8" w:rsidP="001C4C4C">
      <w:pPr>
        <w:numPr>
          <w:ilvl w:val="0"/>
          <w:numId w:val="11"/>
        </w:numPr>
        <w:ind w:left="360"/>
        <w:contextualSpacing/>
        <w:rPr>
          <w:rFonts w:ascii="Arial" w:hAnsi="Arial" w:cs="Arial"/>
          <w:kern w:val="2"/>
          <w14:ligatures w14:val="standardContextual"/>
        </w:rPr>
      </w:pPr>
      <w:r w:rsidRPr="00104C65">
        <w:rPr>
          <w:rFonts w:ascii="Arial" w:hAnsi="Arial" w:cs="Arial"/>
          <w:kern w:val="2"/>
          <w14:ligatures w14:val="standardContextual"/>
        </w:rPr>
        <w:t>Partners’ project data</w:t>
      </w:r>
    </w:p>
    <w:p w14:paraId="48A83864" w14:textId="77777777" w:rsidR="00A908A8" w:rsidRPr="00104C65" w:rsidRDefault="00A908A8" w:rsidP="001C4C4C">
      <w:pPr>
        <w:numPr>
          <w:ilvl w:val="0"/>
          <w:numId w:val="11"/>
        </w:numPr>
        <w:ind w:left="360"/>
        <w:contextualSpacing/>
        <w:rPr>
          <w:rFonts w:ascii="Arial" w:hAnsi="Arial" w:cs="Arial"/>
          <w:kern w:val="2"/>
          <w14:ligatures w14:val="standardContextual"/>
        </w:rPr>
      </w:pPr>
      <w:r w:rsidRPr="00104C65">
        <w:rPr>
          <w:rFonts w:ascii="Arial" w:hAnsi="Arial" w:cs="Arial"/>
          <w:kern w:val="2"/>
          <w14:ligatures w14:val="standardContextual"/>
        </w:rPr>
        <w:t>Case studies</w:t>
      </w:r>
    </w:p>
    <w:p w14:paraId="78882C97" w14:textId="77777777" w:rsidR="00A908A8" w:rsidRPr="00104C65" w:rsidRDefault="00A908A8" w:rsidP="001C4C4C">
      <w:pPr>
        <w:rPr>
          <w:rFonts w:ascii="Arial" w:hAnsi="Arial" w:cs="Arial"/>
        </w:rPr>
      </w:pPr>
    </w:p>
    <w:p w14:paraId="0A734E55" w14:textId="77777777" w:rsidR="00235DD2" w:rsidRPr="00802979" w:rsidRDefault="00235DD2" w:rsidP="001C4C4C">
      <w:pPr>
        <w:rPr>
          <w:rFonts w:ascii="Arial" w:eastAsia="Arial" w:hAnsi="Arial" w:cs="Arial"/>
          <w:b/>
          <w:bCs/>
        </w:rPr>
      </w:pPr>
      <w:r w:rsidRPr="00802979">
        <w:rPr>
          <w:rFonts w:ascii="Arial" w:eastAsia="Arial" w:hAnsi="Arial" w:cs="Arial"/>
          <w:b/>
          <w:bCs/>
        </w:rPr>
        <w:t>Stakeholder consultation</w:t>
      </w:r>
    </w:p>
    <w:p w14:paraId="0490C04A" w14:textId="77777777" w:rsidR="00235DD2" w:rsidRPr="00244974" w:rsidRDefault="00235DD2" w:rsidP="001C4C4C">
      <w:pPr>
        <w:rPr>
          <w:rFonts w:ascii="Arial" w:hAnsi="Arial" w:cs="Arial"/>
        </w:rPr>
      </w:pPr>
      <w:r w:rsidRPr="00244974">
        <w:rPr>
          <w:rFonts w:ascii="Arial" w:eastAsia="Arial" w:hAnsi="Arial" w:cs="Arial"/>
        </w:rPr>
        <w:t xml:space="preserve">In September 2021, the TBMH published the outcomes from its whole service review undertaken through 2021 (this can be found </w:t>
      </w:r>
      <w:hyperlink r:id="rId17">
        <w:r w:rsidRPr="00244974">
          <w:rPr>
            <w:rFonts w:ascii="Arial" w:eastAsia="Arial" w:hAnsi="Arial" w:cs="Arial"/>
            <w:color w:val="0000FF"/>
            <w:u w:val="single"/>
          </w:rPr>
          <w:t>HERE</w:t>
        </w:r>
      </w:hyperlink>
      <w:r w:rsidRPr="00244974">
        <w:rPr>
          <w:rFonts w:ascii="Arial" w:eastAsia="Arial" w:hAnsi="Arial" w:cs="Arial"/>
        </w:rPr>
        <w:t>). F</w:t>
      </w:r>
      <w:r w:rsidRPr="00244974">
        <w:rPr>
          <w:rFonts w:ascii="Arial" w:hAnsi="Arial" w:cs="Arial"/>
        </w:rPr>
        <w:t>our common themes emerged from the research which reinforced the necessary direction of travel for the hub, and which highlight the challenges needed to deliver the best possible service. The themes i</w:t>
      </w:r>
      <w:r w:rsidRPr="00244974">
        <w:rPr>
          <w:rFonts w:ascii="Arial" w:eastAsia="Arial" w:hAnsi="Arial" w:cs="Arial"/>
        </w:rPr>
        <w:t>n summary are:</w:t>
      </w:r>
    </w:p>
    <w:p w14:paraId="402D8D35" w14:textId="77777777" w:rsidR="00235DD2" w:rsidRPr="00244974" w:rsidRDefault="00235DD2" w:rsidP="00D06E89">
      <w:pPr>
        <w:pStyle w:val="ListParagraph"/>
        <w:numPr>
          <w:ilvl w:val="0"/>
          <w:numId w:val="18"/>
        </w:numPr>
        <w:jc w:val="left"/>
        <w:rPr>
          <w:rFonts w:ascii="Arial" w:hAnsi="Arial" w:cs="Arial"/>
          <w:b/>
          <w:bCs/>
        </w:rPr>
      </w:pPr>
      <w:r w:rsidRPr="00244974">
        <w:rPr>
          <w:rFonts w:ascii="Arial" w:hAnsi="Arial" w:cs="Arial"/>
          <w:b/>
          <w:bCs/>
        </w:rPr>
        <w:t>Access, diversity, and inclusion:</w:t>
      </w:r>
      <w:r w:rsidRPr="00244974">
        <w:rPr>
          <w:rFonts w:ascii="Arial" w:hAnsi="Arial" w:cs="Arial"/>
        </w:rPr>
        <w:t xml:space="preserve"> </w:t>
      </w:r>
      <w:r w:rsidRPr="00244974">
        <w:rPr>
          <w:rFonts w:ascii="Arial" w:hAnsi="Arial" w:cs="Arial"/>
        </w:rPr>
        <w:br/>
        <w:t xml:space="preserve">Ensuring all children and young people who wish to access our services, can do </w:t>
      </w:r>
      <w:proofErr w:type="gramStart"/>
      <w:r w:rsidRPr="00244974">
        <w:rPr>
          <w:rFonts w:ascii="Arial" w:hAnsi="Arial" w:cs="Arial"/>
        </w:rPr>
        <w:t>so</w:t>
      </w:r>
      <w:proofErr w:type="gramEnd"/>
    </w:p>
    <w:p w14:paraId="2E8EF82E" w14:textId="77777777" w:rsidR="00235DD2" w:rsidRPr="00244974" w:rsidRDefault="00235DD2" w:rsidP="00D06E89">
      <w:pPr>
        <w:pStyle w:val="ListParagraph"/>
        <w:numPr>
          <w:ilvl w:val="0"/>
          <w:numId w:val="18"/>
        </w:numPr>
        <w:jc w:val="left"/>
        <w:rPr>
          <w:rFonts w:ascii="Arial" w:hAnsi="Arial" w:cs="Arial"/>
          <w:b/>
          <w:bCs/>
        </w:rPr>
      </w:pPr>
      <w:r w:rsidRPr="00244974">
        <w:rPr>
          <w:rFonts w:ascii="Arial" w:hAnsi="Arial" w:cs="Arial"/>
          <w:b/>
          <w:bCs/>
        </w:rPr>
        <w:t>Children’s enjoyment and wellbeing</w:t>
      </w:r>
      <w:r w:rsidRPr="00244974">
        <w:rPr>
          <w:rFonts w:ascii="Arial" w:hAnsi="Arial" w:cs="Arial"/>
        </w:rPr>
        <w:t>:</w:t>
      </w:r>
      <w:r w:rsidRPr="00244974">
        <w:rPr>
          <w:rFonts w:ascii="Arial" w:hAnsi="Arial" w:cs="Arial"/>
        </w:rPr>
        <w:br/>
        <w:t xml:space="preserve">Providing enjoyable activities for children and young people and supporting their health and wellbeing as we emerge from the challenges of the </w:t>
      </w:r>
      <w:proofErr w:type="gramStart"/>
      <w:r w:rsidRPr="00244974">
        <w:rPr>
          <w:rFonts w:ascii="Arial" w:hAnsi="Arial" w:cs="Arial"/>
        </w:rPr>
        <w:t>pandemic</w:t>
      </w:r>
      <w:proofErr w:type="gramEnd"/>
    </w:p>
    <w:p w14:paraId="3DD3D2F4" w14:textId="77777777" w:rsidR="00235DD2" w:rsidRPr="00244974" w:rsidRDefault="00235DD2" w:rsidP="00D06E89">
      <w:pPr>
        <w:pStyle w:val="ListParagraph"/>
        <w:numPr>
          <w:ilvl w:val="0"/>
          <w:numId w:val="18"/>
        </w:numPr>
        <w:jc w:val="left"/>
        <w:rPr>
          <w:rFonts w:ascii="Arial" w:hAnsi="Arial" w:cs="Arial"/>
        </w:rPr>
      </w:pPr>
      <w:r w:rsidRPr="00244974">
        <w:rPr>
          <w:rFonts w:ascii="Arial" w:hAnsi="Arial" w:cs="Arial"/>
          <w:b/>
          <w:bCs/>
        </w:rPr>
        <w:t>Youth voice:</w:t>
      </w:r>
      <w:r w:rsidRPr="00244974">
        <w:rPr>
          <w:rFonts w:ascii="Arial" w:hAnsi="Arial" w:cs="Arial"/>
          <w:b/>
          <w:bCs/>
        </w:rPr>
        <w:br/>
      </w:r>
      <w:r w:rsidRPr="00244974">
        <w:rPr>
          <w:rFonts w:ascii="Arial" w:hAnsi="Arial" w:cs="Arial"/>
        </w:rPr>
        <w:t xml:space="preserve">Ensuring that young voices are at the heart of our offers and the decisions we make as a </w:t>
      </w:r>
      <w:proofErr w:type="gramStart"/>
      <w:r w:rsidRPr="00244974">
        <w:rPr>
          <w:rFonts w:ascii="Arial" w:hAnsi="Arial" w:cs="Arial"/>
        </w:rPr>
        <w:t>service</w:t>
      </w:r>
      <w:proofErr w:type="gramEnd"/>
    </w:p>
    <w:p w14:paraId="0250B71B" w14:textId="77777777" w:rsidR="00235DD2" w:rsidRPr="00FC31E8" w:rsidRDefault="00235DD2" w:rsidP="00D06E89">
      <w:pPr>
        <w:pStyle w:val="ListParagraph"/>
        <w:numPr>
          <w:ilvl w:val="0"/>
          <w:numId w:val="18"/>
        </w:numPr>
        <w:jc w:val="left"/>
        <w:rPr>
          <w:rFonts w:ascii="Arial" w:eastAsia="Arial" w:hAnsi="Arial" w:cs="Arial"/>
        </w:rPr>
      </w:pPr>
      <w:r w:rsidRPr="00FC31E8">
        <w:rPr>
          <w:rFonts w:ascii="Arial" w:hAnsi="Arial" w:cs="Arial"/>
          <w:b/>
          <w:bCs/>
        </w:rPr>
        <w:t>Relationships and communication:</w:t>
      </w:r>
      <w:r w:rsidRPr="00FC31E8">
        <w:rPr>
          <w:rFonts w:ascii="Arial" w:hAnsi="Arial" w:cs="Arial"/>
        </w:rPr>
        <w:br/>
        <w:t>The importance of listening to and communicating clearly with our audiences, partners, service users and workforce.</w:t>
      </w:r>
    </w:p>
    <w:p w14:paraId="58F3D8A0" w14:textId="77777777" w:rsidR="00235DD2" w:rsidRDefault="00235DD2" w:rsidP="001C4C4C">
      <w:pPr>
        <w:rPr>
          <w:rFonts w:ascii="Arial" w:hAnsi="Arial" w:cs="Arial"/>
        </w:rPr>
      </w:pPr>
    </w:p>
    <w:p w14:paraId="0FD56C07" w14:textId="1D675C4B" w:rsidR="008043F9" w:rsidRPr="00104C65" w:rsidRDefault="008043F9" w:rsidP="001C4C4C">
      <w:pPr>
        <w:rPr>
          <w:rFonts w:ascii="Arial" w:hAnsi="Arial" w:cs="Arial"/>
        </w:rPr>
      </w:pPr>
      <w:r w:rsidRPr="00104C65">
        <w:rPr>
          <w:rFonts w:ascii="Arial" w:hAnsi="Arial" w:cs="Arial"/>
        </w:rPr>
        <w:t xml:space="preserve">Youth and learner voice are a central influence on our progression strategy.  We consult children and young people constantly and systematically through the youth </w:t>
      </w:r>
      <w:r w:rsidR="00235DD2">
        <w:rPr>
          <w:rFonts w:ascii="Arial" w:hAnsi="Arial" w:cs="Arial"/>
        </w:rPr>
        <w:t>voice council</w:t>
      </w:r>
      <w:r w:rsidRPr="00104C65">
        <w:rPr>
          <w:rFonts w:ascii="Arial" w:hAnsi="Arial" w:cs="Arial"/>
        </w:rPr>
        <w:t>, evaluation and satisfaction surveys, informal feedbac</w:t>
      </w:r>
      <w:r w:rsidR="004A0E8A">
        <w:rPr>
          <w:rFonts w:ascii="Arial" w:hAnsi="Arial" w:cs="Arial"/>
        </w:rPr>
        <w:t>k.</w:t>
      </w:r>
    </w:p>
    <w:p w14:paraId="204B634D" w14:textId="5EFCEAF3" w:rsidR="00C51452" w:rsidRPr="00104C65" w:rsidRDefault="00C51452" w:rsidP="001C4C4C">
      <w:pPr>
        <w:pStyle w:val="Heading1"/>
        <w:rPr>
          <w:rFonts w:ascii="Arial" w:hAnsi="Arial" w:cs="Arial"/>
        </w:rPr>
      </w:pPr>
      <w:r w:rsidRPr="00104C65">
        <w:rPr>
          <w:rFonts w:ascii="Arial" w:hAnsi="Arial" w:cs="Arial"/>
        </w:rPr>
        <w:t>Existing approach to progression</w:t>
      </w:r>
    </w:p>
    <w:p w14:paraId="038E6A36" w14:textId="6D6F0EAA" w:rsidR="004A0E8A" w:rsidRPr="00104C65" w:rsidRDefault="004A0E8A" w:rsidP="001C4C4C">
      <w:pPr>
        <w:rPr>
          <w:rFonts w:ascii="Arial" w:hAnsi="Arial" w:cs="Arial"/>
        </w:rPr>
      </w:pPr>
      <w:r w:rsidRPr="00104C65">
        <w:rPr>
          <w:rFonts w:ascii="Arial" w:hAnsi="Arial" w:cs="Arial"/>
        </w:rPr>
        <w:t xml:space="preserve">This strategy builds on many </w:t>
      </w:r>
      <w:r>
        <w:rPr>
          <w:rFonts w:ascii="Arial" w:hAnsi="Arial" w:cs="Arial"/>
        </w:rPr>
        <w:t>years</w:t>
      </w:r>
      <w:r w:rsidRPr="00104C65">
        <w:rPr>
          <w:rFonts w:ascii="Arial" w:hAnsi="Arial" w:cs="Arial"/>
        </w:rPr>
        <w:t xml:space="preserve"> of practice and development in the arena of progression.  Since 2012, </w:t>
      </w:r>
      <w:r>
        <w:rPr>
          <w:rFonts w:ascii="Arial" w:hAnsi="Arial" w:cs="Arial"/>
        </w:rPr>
        <w:t>Tri-borough Music</w:t>
      </w:r>
      <w:r w:rsidRPr="00104C65">
        <w:rPr>
          <w:rFonts w:ascii="Arial" w:hAnsi="Arial" w:cs="Arial"/>
        </w:rPr>
        <w:t xml:space="preserve"> Hub has supported learners’ progression in </w:t>
      </w:r>
      <w:proofErr w:type="gramStart"/>
      <w:r w:rsidRPr="00104C65">
        <w:rPr>
          <w:rFonts w:ascii="Arial" w:hAnsi="Arial" w:cs="Arial"/>
        </w:rPr>
        <w:t>many different ways</w:t>
      </w:r>
      <w:proofErr w:type="gramEnd"/>
      <w:r w:rsidRPr="00104C65">
        <w:rPr>
          <w:rFonts w:ascii="Arial" w:hAnsi="Arial" w:cs="Arial"/>
        </w:rPr>
        <w:t xml:space="preserve">. </w:t>
      </w:r>
      <w:r>
        <w:rPr>
          <w:rFonts w:ascii="Arial" w:hAnsi="Arial" w:cs="Arial"/>
        </w:rPr>
        <w:t>W</w:t>
      </w:r>
      <w:r w:rsidRPr="00104C65">
        <w:rPr>
          <w:rFonts w:ascii="Arial" w:hAnsi="Arial" w:cs="Arial"/>
        </w:rPr>
        <w:t xml:space="preserve">e offer progressive opportunities </w:t>
      </w:r>
      <w:r w:rsidR="00153A96">
        <w:rPr>
          <w:rFonts w:ascii="Arial" w:hAnsi="Arial" w:cs="Arial"/>
        </w:rPr>
        <w:t>in varied ways as outlined below:</w:t>
      </w:r>
    </w:p>
    <w:p w14:paraId="0E09D56D" w14:textId="77777777" w:rsidR="004A0E8A" w:rsidRDefault="004A0E8A" w:rsidP="001C4C4C">
      <w:pPr>
        <w:rPr>
          <w:rFonts w:ascii="Arial" w:hAnsi="Arial" w:cs="Arial"/>
        </w:rPr>
      </w:pPr>
    </w:p>
    <w:p w14:paraId="1B0FDDF2" w14:textId="5FD4CB19" w:rsidR="004A0E8A" w:rsidRPr="00153A96" w:rsidRDefault="00CB54F0" w:rsidP="001C4C4C">
      <w:pPr>
        <w:pStyle w:val="ListParagraph"/>
        <w:numPr>
          <w:ilvl w:val="0"/>
          <w:numId w:val="19"/>
        </w:numPr>
        <w:rPr>
          <w:rFonts w:ascii="Arial" w:hAnsi="Arial" w:cs="Arial"/>
        </w:rPr>
      </w:pPr>
      <w:r>
        <w:rPr>
          <w:rFonts w:ascii="Arial" w:hAnsi="Arial" w:cs="Arial"/>
        </w:rPr>
        <w:t xml:space="preserve">Many TBMH partners deliver Early </w:t>
      </w:r>
      <w:r w:rsidR="004B0B86">
        <w:rPr>
          <w:rFonts w:ascii="Arial" w:hAnsi="Arial" w:cs="Arial"/>
        </w:rPr>
        <w:t>Y</w:t>
      </w:r>
      <w:r>
        <w:rPr>
          <w:rFonts w:ascii="Arial" w:hAnsi="Arial" w:cs="Arial"/>
        </w:rPr>
        <w:t xml:space="preserve">ears </w:t>
      </w:r>
      <w:r w:rsidR="004B0B86">
        <w:rPr>
          <w:rFonts w:ascii="Arial" w:hAnsi="Arial" w:cs="Arial"/>
        </w:rPr>
        <w:t>work</w:t>
      </w:r>
      <w:r w:rsidR="003A05F5">
        <w:rPr>
          <w:rFonts w:ascii="Arial" w:hAnsi="Arial" w:cs="Arial"/>
        </w:rPr>
        <w:t xml:space="preserve"> (pre-natal/birth to 5 years old)</w:t>
      </w:r>
      <w:r w:rsidR="004B0B86">
        <w:rPr>
          <w:rFonts w:ascii="Arial" w:hAnsi="Arial" w:cs="Arial"/>
        </w:rPr>
        <w:t>. They help signpost learners to other provisions at appropriate ages and based on need/interests.</w:t>
      </w:r>
    </w:p>
    <w:p w14:paraId="02073544" w14:textId="46A46E99" w:rsidR="004A0E8A" w:rsidRPr="00153A96" w:rsidRDefault="00330A62" w:rsidP="001C4C4C">
      <w:pPr>
        <w:pStyle w:val="ListParagraph"/>
        <w:numPr>
          <w:ilvl w:val="1"/>
          <w:numId w:val="19"/>
        </w:numPr>
        <w:rPr>
          <w:rFonts w:ascii="Arial" w:hAnsi="Arial" w:cs="Arial"/>
        </w:rPr>
      </w:pPr>
      <w:r>
        <w:rPr>
          <w:rFonts w:ascii="Arial" w:hAnsi="Arial" w:cs="Arial"/>
        </w:rPr>
        <w:t>The RCM have a long-standing community music focused programme of work called ‘Get, Set, Play!’ in partnership with Groove’N’Play</w:t>
      </w:r>
      <w:r w:rsidR="00927CDA">
        <w:rPr>
          <w:rFonts w:ascii="Arial" w:hAnsi="Arial" w:cs="Arial"/>
        </w:rPr>
        <w:t xml:space="preserve">. This gives families from targeted groups the chance </w:t>
      </w:r>
      <w:r w:rsidR="00584481">
        <w:rPr>
          <w:rFonts w:ascii="Arial" w:hAnsi="Arial" w:cs="Arial"/>
        </w:rPr>
        <w:t>to engage with and experience</w:t>
      </w:r>
      <w:r w:rsidR="001D7CE1">
        <w:rPr>
          <w:rFonts w:ascii="Arial" w:hAnsi="Arial" w:cs="Arial"/>
        </w:rPr>
        <w:t xml:space="preserve"> music-making. Following the programme of work students are offered scholarships to TBMH activity at Saturday Music School and from this </w:t>
      </w:r>
      <w:r w:rsidR="00161D5F">
        <w:rPr>
          <w:rFonts w:ascii="Arial" w:hAnsi="Arial" w:cs="Arial"/>
        </w:rPr>
        <w:t xml:space="preserve">we support their </w:t>
      </w:r>
      <w:r w:rsidR="001D7CE1">
        <w:rPr>
          <w:rFonts w:ascii="Arial" w:hAnsi="Arial" w:cs="Arial"/>
        </w:rPr>
        <w:t>musical pro</w:t>
      </w:r>
      <w:r w:rsidR="00161D5F">
        <w:rPr>
          <w:rFonts w:ascii="Arial" w:hAnsi="Arial" w:cs="Arial"/>
        </w:rPr>
        <w:t>gression.</w:t>
      </w:r>
    </w:p>
    <w:p w14:paraId="1A31A001" w14:textId="2FBBF078" w:rsidR="004A0E8A" w:rsidRDefault="00161D5F" w:rsidP="001C4C4C">
      <w:pPr>
        <w:pStyle w:val="ListParagraph"/>
        <w:numPr>
          <w:ilvl w:val="1"/>
          <w:numId w:val="19"/>
        </w:numPr>
        <w:rPr>
          <w:rFonts w:ascii="Arial" w:hAnsi="Arial" w:cs="Arial"/>
        </w:rPr>
      </w:pPr>
      <w:r>
        <w:rPr>
          <w:rFonts w:ascii="Arial" w:hAnsi="Arial" w:cs="Arial"/>
        </w:rPr>
        <w:lastRenderedPageBreak/>
        <w:t>RCM Sparks Juniors is another access point l</w:t>
      </w:r>
      <w:r w:rsidR="003A0CDA">
        <w:rPr>
          <w:rFonts w:ascii="Arial" w:hAnsi="Arial" w:cs="Arial"/>
        </w:rPr>
        <w:t>e</w:t>
      </w:r>
      <w:r>
        <w:rPr>
          <w:rFonts w:ascii="Arial" w:hAnsi="Arial" w:cs="Arial"/>
        </w:rPr>
        <w:t>ading to signposted progression.</w:t>
      </w:r>
    </w:p>
    <w:p w14:paraId="223EC33F" w14:textId="6CEA5FD0" w:rsidR="00161D5F" w:rsidRDefault="002A350F" w:rsidP="001C4C4C">
      <w:pPr>
        <w:pStyle w:val="ListParagraph"/>
        <w:numPr>
          <w:ilvl w:val="1"/>
          <w:numId w:val="19"/>
        </w:numPr>
        <w:rPr>
          <w:rFonts w:ascii="Arial" w:hAnsi="Arial" w:cs="Arial"/>
        </w:rPr>
      </w:pPr>
      <w:r>
        <w:rPr>
          <w:rFonts w:ascii="Arial" w:hAnsi="Arial" w:cs="Arial"/>
        </w:rPr>
        <w:t>Pimlico Music Foundation offer instrumental and vocal learning for the community in South Westminster.</w:t>
      </w:r>
    </w:p>
    <w:p w14:paraId="73C85D81" w14:textId="148A6A3E" w:rsidR="002A350F" w:rsidRDefault="002A350F" w:rsidP="001C4C4C">
      <w:pPr>
        <w:pStyle w:val="ListParagraph"/>
        <w:numPr>
          <w:ilvl w:val="1"/>
          <w:numId w:val="19"/>
        </w:numPr>
        <w:rPr>
          <w:rFonts w:ascii="Arial" w:hAnsi="Arial" w:cs="Arial"/>
        </w:rPr>
      </w:pPr>
      <w:r>
        <w:rPr>
          <w:rFonts w:ascii="Arial" w:hAnsi="Arial" w:cs="Arial"/>
        </w:rPr>
        <w:t xml:space="preserve">Nucleo </w:t>
      </w:r>
      <w:r w:rsidR="00FA0A63">
        <w:rPr>
          <w:rFonts w:ascii="Arial" w:hAnsi="Arial" w:cs="Arial"/>
        </w:rPr>
        <w:t>offers instrumental and vocal learning for the community in North RBKC and Westminster.</w:t>
      </w:r>
    </w:p>
    <w:p w14:paraId="1EF1F78D" w14:textId="729B9897" w:rsidR="00FA0A63" w:rsidRDefault="00FA0A63" w:rsidP="001C4C4C">
      <w:pPr>
        <w:pStyle w:val="ListParagraph"/>
        <w:numPr>
          <w:ilvl w:val="1"/>
          <w:numId w:val="19"/>
        </w:numPr>
        <w:rPr>
          <w:rFonts w:ascii="Arial" w:hAnsi="Arial" w:cs="Arial"/>
        </w:rPr>
      </w:pPr>
      <w:r>
        <w:rPr>
          <w:rFonts w:ascii="Arial" w:hAnsi="Arial" w:cs="Arial"/>
        </w:rPr>
        <w:t>Music House For Children offers instrumental and vocal learning for the community in Hammersmith and Fulham, with SEND provision.</w:t>
      </w:r>
    </w:p>
    <w:p w14:paraId="26349B35" w14:textId="29E35B69" w:rsidR="00CD24E9" w:rsidRDefault="00CD24E9" w:rsidP="001C4C4C">
      <w:pPr>
        <w:pStyle w:val="ListParagraph"/>
        <w:numPr>
          <w:ilvl w:val="1"/>
          <w:numId w:val="19"/>
        </w:numPr>
        <w:rPr>
          <w:rFonts w:ascii="Arial" w:hAnsi="Arial" w:cs="Arial"/>
        </w:rPr>
      </w:pPr>
      <w:r>
        <w:rPr>
          <w:rFonts w:ascii="Arial" w:hAnsi="Arial" w:cs="Arial"/>
        </w:rPr>
        <w:t>Creative Futures offers targeted work in the community for families</w:t>
      </w:r>
      <w:r w:rsidR="00B3309D">
        <w:rPr>
          <w:rFonts w:ascii="Arial" w:hAnsi="Arial" w:cs="Arial"/>
        </w:rPr>
        <w:t xml:space="preserve"> in challenging circum</w:t>
      </w:r>
      <w:r w:rsidR="00272FC5">
        <w:rPr>
          <w:rFonts w:ascii="Arial" w:hAnsi="Arial" w:cs="Arial"/>
        </w:rPr>
        <w:t>stances</w:t>
      </w:r>
      <w:r>
        <w:rPr>
          <w:rFonts w:ascii="Arial" w:hAnsi="Arial" w:cs="Arial"/>
        </w:rPr>
        <w:t xml:space="preserve"> for the community in </w:t>
      </w:r>
      <w:r w:rsidR="00272FC5">
        <w:rPr>
          <w:rFonts w:ascii="Arial" w:hAnsi="Arial" w:cs="Arial"/>
        </w:rPr>
        <w:t>North</w:t>
      </w:r>
      <w:r>
        <w:rPr>
          <w:rFonts w:ascii="Arial" w:hAnsi="Arial" w:cs="Arial"/>
        </w:rPr>
        <w:t xml:space="preserve"> Westminster.</w:t>
      </w:r>
    </w:p>
    <w:p w14:paraId="2D725242" w14:textId="00665FDC" w:rsidR="00FC4D31" w:rsidRPr="00945C32" w:rsidRDefault="00485E79" w:rsidP="001C4C4C">
      <w:pPr>
        <w:pStyle w:val="ListParagraph"/>
        <w:numPr>
          <w:ilvl w:val="0"/>
          <w:numId w:val="19"/>
        </w:numPr>
        <w:rPr>
          <w:rFonts w:ascii="Arial" w:eastAsia="Arial" w:hAnsi="Arial" w:cs="Arial"/>
        </w:rPr>
      </w:pPr>
      <w:r w:rsidRPr="00945C32">
        <w:rPr>
          <w:rFonts w:ascii="Arial" w:hAnsi="Arial" w:cs="Arial"/>
        </w:rPr>
        <w:t>The Many different scholarship funds support progression through financial support and access</w:t>
      </w:r>
      <w:r w:rsidR="00804BDA" w:rsidRPr="00945C32">
        <w:rPr>
          <w:rFonts w:ascii="Arial" w:hAnsi="Arial" w:cs="Arial"/>
        </w:rPr>
        <w:t>.</w:t>
      </w:r>
      <w:r w:rsidR="00945C32" w:rsidRPr="00945C32">
        <w:rPr>
          <w:rFonts w:ascii="Arial" w:hAnsi="Arial" w:cs="Arial"/>
        </w:rPr>
        <w:t xml:space="preserve"> </w:t>
      </w:r>
      <w:r w:rsidR="00FC4D31" w:rsidRPr="00945C32">
        <w:rPr>
          <w:rFonts w:ascii="Arial" w:eastAsia="Arial" w:hAnsi="Arial" w:cs="Arial"/>
        </w:rPr>
        <w:t>Total scholars = 139</w:t>
      </w:r>
    </w:p>
    <w:p w14:paraId="15CA6C78" w14:textId="77777777" w:rsidR="00FC4D31" w:rsidRPr="00B47D0F" w:rsidRDefault="00FC4D31" w:rsidP="001C4C4C">
      <w:pPr>
        <w:pStyle w:val="ListParagraph"/>
        <w:numPr>
          <w:ilvl w:val="1"/>
          <w:numId w:val="19"/>
        </w:numPr>
        <w:rPr>
          <w:rFonts w:ascii="Arial" w:eastAsia="Arial" w:hAnsi="Arial" w:cs="Arial"/>
        </w:rPr>
      </w:pPr>
      <w:r w:rsidRPr="00B47D0F">
        <w:rPr>
          <w:rFonts w:ascii="Arial" w:eastAsia="Arial" w:hAnsi="Arial" w:cs="Arial"/>
        </w:rPr>
        <w:t>London Music Fund Scholars: (</w:t>
      </w:r>
      <w:proofErr w:type="gramStart"/>
      <w:r w:rsidRPr="00B47D0F">
        <w:rPr>
          <w:rFonts w:ascii="Arial" w:eastAsia="Arial" w:hAnsi="Arial" w:cs="Arial"/>
        </w:rPr>
        <w:t>4 year</w:t>
      </w:r>
      <w:proofErr w:type="gramEnd"/>
      <w:r w:rsidRPr="00B47D0F">
        <w:rPr>
          <w:rFonts w:ascii="Arial" w:eastAsia="Arial" w:hAnsi="Arial" w:cs="Arial"/>
        </w:rPr>
        <w:t xml:space="preserve"> scholars)</w:t>
      </w:r>
      <w:r w:rsidRPr="00B47D0F">
        <w:rPr>
          <w:rFonts w:ascii="Arial" w:eastAsia="Arial" w:hAnsi="Arial" w:cs="Arial"/>
        </w:rPr>
        <w:tab/>
      </w:r>
      <w:r>
        <w:rPr>
          <w:rFonts w:ascii="Arial" w:eastAsia="Arial" w:hAnsi="Arial" w:cs="Arial"/>
        </w:rPr>
        <w:t xml:space="preserve">= </w:t>
      </w:r>
      <w:r w:rsidRPr="00B47D0F">
        <w:rPr>
          <w:rFonts w:ascii="Arial" w:eastAsia="Arial" w:hAnsi="Arial" w:cs="Arial"/>
        </w:rPr>
        <w:t>34</w:t>
      </w:r>
      <w:r w:rsidRPr="00B47D0F">
        <w:rPr>
          <w:rFonts w:ascii="Arial" w:eastAsia="Arial" w:hAnsi="Arial" w:cs="Arial"/>
        </w:rPr>
        <w:tab/>
      </w:r>
    </w:p>
    <w:p w14:paraId="11AFFDCE" w14:textId="5C58102F" w:rsidR="00FC4D31" w:rsidRPr="00B47D0F" w:rsidRDefault="00FC4D31" w:rsidP="001C4C4C">
      <w:pPr>
        <w:pStyle w:val="ListParagraph"/>
        <w:numPr>
          <w:ilvl w:val="1"/>
          <w:numId w:val="19"/>
        </w:numPr>
        <w:rPr>
          <w:rFonts w:ascii="Arial" w:eastAsia="Arial" w:hAnsi="Arial" w:cs="Arial"/>
        </w:rPr>
      </w:pPr>
      <w:r w:rsidRPr="00B47D0F">
        <w:rPr>
          <w:rFonts w:ascii="Arial" w:eastAsia="Arial" w:hAnsi="Arial" w:cs="Arial"/>
        </w:rPr>
        <w:t>R</w:t>
      </w:r>
      <w:r>
        <w:rPr>
          <w:rFonts w:ascii="Arial" w:eastAsia="Arial" w:hAnsi="Arial" w:cs="Arial"/>
        </w:rPr>
        <w:t xml:space="preserve">oyal </w:t>
      </w:r>
      <w:r w:rsidRPr="00B47D0F">
        <w:rPr>
          <w:rFonts w:ascii="Arial" w:eastAsia="Arial" w:hAnsi="Arial" w:cs="Arial"/>
        </w:rPr>
        <w:t>A</w:t>
      </w:r>
      <w:r>
        <w:rPr>
          <w:rFonts w:ascii="Arial" w:eastAsia="Arial" w:hAnsi="Arial" w:cs="Arial"/>
        </w:rPr>
        <w:t xml:space="preserve">lbert Hall </w:t>
      </w:r>
      <w:r w:rsidRPr="00B47D0F">
        <w:rPr>
          <w:rFonts w:ascii="Arial" w:eastAsia="Arial" w:hAnsi="Arial" w:cs="Arial"/>
        </w:rPr>
        <w:t>Maestros</w:t>
      </w:r>
      <w:r>
        <w:rPr>
          <w:rFonts w:ascii="Arial" w:eastAsia="Arial" w:hAnsi="Arial" w:cs="Arial"/>
        </w:rPr>
        <w:t>:</w:t>
      </w:r>
      <w:r w:rsidR="00AE2325">
        <w:rPr>
          <w:rFonts w:ascii="Arial" w:eastAsia="Arial" w:hAnsi="Arial" w:cs="Arial"/>
        </w:rPr>
        <w:t xml:space="preserve"> 64</w:t>
      </w:r>
      <w:r w:rsidRPr="00B47D0F">
        <w:rPr>
          <w:rFonts w:ascii="Arial" w:eastAsia="Arial" w:hAnsi="Arial" w:cs="Arial"/>
        </w:rPr>
        <w:tab/>
      </w:r>
      <w:r w:rsidRPr="00B47D0F">
        <w:rPr>
          <w:rFonts w:ascii="Arial" w:eastAsia="Arial" w:hAnsi="Arial" w:cs="Arial"/>
        </w:rPr>
        <w:tab/>
      </w:r>
    </w:p>
    <w:p w14:paraId="27A882E2" w14:textId="77777777" w:rsidR="00FC4D31" w:rsidRPr="001A5EA3" w:rsidRDefault="00FC4D31" w:rsidP="001C4C4C">
      <w:pPr>
        <w:pStyle w:val="ListParagraph"/>
        <w:numPr>
          <w:ilvl w:val="2"/>
          <w:numId w:val="19"/>
        </w:numPr>
        <w:rPr>
          <w:rFonts w:ascii="Arial" w:eastAsia="Arial" w:hAnsi="Arial" w:cs="Arial"/>
          <w:sz w:val="20"/>
          <w:szCs w:val="20"/>
        </w:rPr>
      </w:pPr>
      <w:r w:rsidRPr="001A5EA3">
        <w:rPr>
          <w:rFonts w:ascii="Arial" w:eastAsia="Arial" w:hAnsi="Arial" w:cs="Arial"/>
          <w:sz w:val="20"/>
          <w:szCs w:val="20"/>
        </w:rPr>
        <w:t>Cohort 9: = 43</w:t>
      </w:r>
    </w:p>
    <w:p w14:paraId="06B1D0AD" w14:textId="77777777" w:rsidR="00FC4D31" w:rsidRPr="001A5EA3" w:rsidRDefault="00FC4D31" w:rsidP="001C4C4C">
      <w:pPr>
        <w:pStyle w:val="ListParagraph"/>
        <w:numPr>
          <w:ilvl w:val="3"/>
          <w:numId w:val="19"/>
        </w:numPr>
        <w:rPr>
          <w:rFonts w:ascii="Arial" w:eastAsia="Arial" w:hAnsi="Arial" w:cs="Arial"/>
          <w:sz w:val="20"/>
          <w:szCs w:val="20"/>
        </w:rPr>
      </w:pPr>
      <w:r w:rsidRPr="001A5EA3">
        <w:rPr>
          <w:rFonts w:ascii="Arial" w:eastAsia="Arial" w:hAnsi="Arial" w:cs="Arial"/>
          <w:sz w:val="20"/>
          <w:szCs w:val="20"/>
        </w:rPr>
        <w:t>2 – Trombone</w:t>
      </w:r>
    </w:p>
    <w:p w14:paraId="6E9F35A4" w14:textId="77777777" w:rsidR="00FC4D31" w:rsidRPr="001A5EA3" w:rsidRDefault="00FC4D31" w:rsidP="001C4C4C">
      <w:pPr>
        <w:pStyle w:val="ListParagraph"/>
        <w:numPr>
          <w:ilvl w:val="3"/>
          <w:numId w:val="19"/>
        </w:numPr>
        <w:rPr>
          <w:rFonts w:ascii="Arial" w:eastAsia="Arial" w:hAnsi="Arial" w:cs="Arial"/>
          <w:sz w:val="20"/>
          <w:szCs w:val="20"/>
        </w:rPr>
      </w:pPr>
      <w:r w:rsidRPr="001A5EA3">
        <w:rPr>
          <w:rFonts w:ascii="Arial" w:eastAsia="Arial" w:hAnsi="Arial" w:cs="Arial"/>
          <w:sz w:val="20"/>
          <w:szCs w:val="20"/>
        </w:rPr>
        <w:t>3 – Trumpet</w:t>
      </w:r>
    </w:p>
    <w:p w14:paraId="6CD9C8A4" w14:textId="77777777" w:rsidR="00FC4D31" w:rsidRPr="001A5EA3" w:rsidRDefault="00FC4D31" w:rsidP="001C4C4C">
      <w:pPr>
        <w:pStyle w:val="ListParagraph"/>
        <w:numPr>
          <w:ilvl w:val="3"/>
          <w:numId w:val="19"/>
        </w:numPr>
        <w:rPr>
          <w:rFonts w:ascii="Arial" w:eastAsia="Arial" w:hAnsi="Arial" w:cs="Arial"/>
          <w:sz w:val="20"/>
          <w:szCs w:val="20"/>
        </w:rPr>
      </w:pPr>
      <w:r w:rsidRPr="001A5EA3">
        <w:rPr>
          <w:rFonts w:ascii="Arial" w:eastAsia="Arial" w:hAnsi="Arial" w:cs="Arial"/>
          <w:sz w:val="20"/>
          <w:szCs w:val="20"/>
        </w:rPr>
        <w:t>6 – flute</w:t>
      </w:r>
    </w:p>
    <w:p w14:paraId="79F3235A" w14:textId="77777777" w:rsidR="00FC4D31" w:rsidRPr="001A5EA3" w:rsidRDefault="00FC4D31" w:rsidP="001C4C4C">
      <w:pPr>
        <w:pStyle w:val="ListParagraph"/>
        <w:numPr>
          <w:ilvl w:val="3"/>
          <w:numId w:val="19"/>
        </w:numPr>
        <w:rPr>
          <w:rFonts w:ascii="Arial" w:eastAsia="Arial" w:hAnsi="Arial" w:cs="Arial"/>
          <w:sz w:val="20"/>
          <w:szCs w:val="20"/>
        </w:rPr>
      </w:pPr>
      <w:r w:rsidRPr="001A5EA3">
        <w:rPr>
          <w:rFonts w:ascii="Arial" w:eastAsia="Arial" w:hAnsi="Arial" w:cs="Arial"/>
          <w:sz w:val="20"/>
          <w:szCs w:val="20"/>
        </w:rPr>
        <w:t xml:space="preserve">4 – clarinet </w:t>
      </w:r>
    </w:p>
    <w:p w14:paraId="7FA0238F" w14:textId="77777777" w:rsidR="00FC4D31" w:rsidRPr="001A5EA3" w:rsidRDefault="00FC4D31" w:rsidP="001C4C4C">
      <w:pPr>
        <w:pStyle w:val="ListParagraph"/>
        <w:numPr>
          <w:ilvl w:val="3"/>
          <w:numId w:val="19"/>
        </w:numPr>
        <w:rPr>
          <w:rFonts w:ascii="Arial" w:eastAsia="Arial" w:hAnsi="Arial" w:cs="Arial"/>
          <w:sz w:val="20"/>
          <w:szCs w:val="20"/>
        </w:rPr>
      </w:pPr>
      <w:r w:rsidRPr="001A5EA3">
        <w:rPr>
          <w:rFonts w:ascii="Arial" w:eastAsia="Arial" w:hAnsi="Arial" w:cs="Arial"/>
          <w:sz w:val="20"/>
          <w:szCs w:val="20"/>
        </w:rPr>
        <w:t>4 – Alto Saxophone</w:t>
      </w:r>
    </w:p>
    <w:p w14:paraId="3D812C7F" w14:textId="77777777" w:rsidR="00FC4D31" w:rsidRPr="001A5EA3" w:rsidRDefault="00FC4D31" w:rsidP="001C4C4C">
      <w:pPr>
        <w:pStyle w:val="ListParagraph"/>
        <w:numPr>
          <w:ilvl w:val="3"/>
          <w:numId w:val="19"/>
        </w:numPr>
        <w:rPr>
          <w:rFonts w:ascii="Arial" w:eastAsia="Arial" w:hAnsi="Arial" w:cs="Arial"/>
          <w:sz w:val="20"/>
          <w:szCs w:val="20"/>
        </w:rPr>
      </w:pPr>
      <w:r w:rsidRPr="001A5EA3">
        <w:rPr>
          <w:rFonts w:ascii="Arial" w:eastAsia="Arial" w:hAnsi="Arial" w:cs="Arial"/>
          <w:sz w:val="20"/>
          <w:szCs w:val="20"/>
        </w:rPr>
        <w:t>2 – Oboe</w:t>
      </w:r>
    </w:p>
    <w:p w14:paraId="1F94CE3E" w14:textId="77777777" w:rsidR="00FC4D31" w:rsidRPr="001A5EA3" w:rsidRDefault="00FC4D31" w:rsidP="001C4C4C">
      <w:pPr>
        <w:pStyle w:val="ListParagraph"/>
        <w:numPr>
          <w:ilvl w:val="3"/>
          <w:numId w:val="19"/>
        </w:numPr>
        <w:rPr>
          <w:rFonts w:ascii="Arial" w:eastAsia="Arial" w:hAnsi="Arial" w:cs="Arial"/>
          <w:sz w:val="20"/>
          <w:szCs w:val="20"/>
        </w:rPr>
      </w:pPr>
      <w:r w:rsidRPr="001A5EA3">
        <w:rPr>
          <w:rFonts w:ascii="Arial" w:eastAsia="Arial" w:hAnsi="Arial" w:cs="Arial"/>
          <w:sz w:val="20"/>
          <w:szCs w:val="20"/>
        </w:rPr>
        <w:t>9 – violin</w:t>
      </w:r>
    </w:p>
    <w:p w14:paraId="2AB8ECA7" w14:textId="77777777" w:rsidR="00FC4D31" w:rsidRPr="001A5EA3" w:rsidRDefault="00FC4D31" w:rsidP="001C4C4C">
      <w:pPr>
        <w:pStyle w:val="ListParagraph"/>
        <w:numPr>
          <w:ilvl w:val="3"/>
          <w:numId w:val="19"/>
        </w:numPr>
        <w:rPr>
          <w:rFonts w:ascii="Arial" w:eastAsia="Arial" w:hAnsi="Arial" w:cs="Arial"/>
          <w:sz w:val="20"/>
          <w:szCs w:val="20"/>
        </w:rPr>
      </w:pPr>
      <w:r w:rsidRPr="001A5EA3">
        <w:rPr>
          <w:rFonts w:ascii="Arial" w:eastAsia="Arial" w:hAnsi="Arial" w:cs="Arial"/>
          <w:sz w:val="20"/>
          <w:szCs w:val="20"/>
        </w:rPr>
        <w:t xml:space="preserve">4 – viola </w:t>
      </w:r>
    </w:p>
    <w:p w14:paraId="135B8B20" w14:textId="77777777" w:rsidR="00FC4D31" w:rsidRPr="001A5EA3" w:rsidRDefault="00FC4D31" w:rsidP="001C4C4C">
      <w:pPr>
        <w:pStyle w:val="ListParagraph"/>
        <w:numPr>
          <w:ilvl w:val="3"/>
          <w:numId w:val="19"/>
        </w:numPr>
        <w:rPr>
          <w:rFonts w:ascii="Arial" w:eastAsia="Arial" w:hAnsi="Arial" w:cs="Arial"/>
          <w:sz w:val="20"/>
          <w:szCs w:val="20"/>
        </w:rPr>
      </w:pPr>
      <w:r w:rsidRPr="001A5EA3">
        <w:rPr>
          <w:rFonts w:ascii="Arial" w:eastAsia="Arial" w:hAnsi="Arial" w:cs="Arial"/>
          <w:sz w:val="20"/>
          <w:szCs w:val="20"/>
        </w:rPr>
        <w:t xml:space="preserve">5 – cello </w:t>
      </w:r>
    </w:p>
    <w:p w14:paraId="39F516E7" w14:textId="77777777" w:rsidR="00FC4D31" w:rsidRPr="001A5EA3" w:rsidRDefault="00FC4D31" w:rsidP="001C4C4C">
      <w:pPr>
        <w:pStyle w:val="ListParagraph"/>
        <w:numPr>
          <w:ilvl w:val="3"/>
          <w:numId w:val="19"/>
        </w:numPr>
        <w:rPr>
          <w:rFonts w:ascii="Arial" w:eastAsia="Arial" w:hAnsi="Arial" w:cs="Arial"/>
          <w:sz w:val="20"/>
          <w:szCs w:val="20"/>
        </w:rPr>
      </w:pPr>
      <w:r w:rsidRPr="001A5EA3">
        <w:rPr>
          <w:rFonts w:ascii="Arial" w:eastAsia="Arial" w:hAnsi="Arial" w:cs="Arial"/>
          <w:sz w:val="20"/>
          <w:szCs w:val="20"/>
        </w:rPr>
        <w:t>4 – guitar</w:t>
      </w:r>
      <w:r w:rsidRPr="001A5EA3">
        <w:rPr>
          <w:rFonts w:ascii="Arial" w:eastAsia="Arial" w:hAnsi="Arial" w:cs="Arial"/>
          <w:sz w:val="20"/>
          <w:szCs w:val="20"/>
        </w:rPr>
        <w:tab/>
      </w:r>
    </w:p>
    <w:p w14:paraId="0A7C7250" w14:textId="77777777" w:rsidR="00FC4D31" w:rsidRPr="001A5EA3" w:rsidRDefault="00FC4D31" w:rsidP="001C4C4C">
      <w:pPr>
        <w:pStyle w:val="ListParagraph"/>
        <w:numPr>
          <w:ilvl w:val="2"/>
          <w:numId w:val="19"/>
        </w:numPr>
        <w:rPr>
          <w:rFonts w:ascii="Arial" w:eastAsia="Arial" w:hAnsi="Arial" w:cs="Arial"/>
          <w:sz w:val="20"/>
          <w:szCs w:val="20"/>
        </w:rPr>
      </w:pPr>
      <w:r w:rsidRPr="001A5EA3">
        <w:rPr>
          <w:rFonts w:ascii="Arial" w:eastAsia="Arial" w:hAnsi="Arial" w:cs="Arial"/>
          <w:sz w:val="20"/>
          <w:szCs w:val="20"/>
        </w:rPr>
        <w:t>Cohort 8: (continuing at SMS from 2022-23) = 12</w:t>
      </w:r>
      <w:r w:rsidRPr="001A5EA3">
        <w:rPr>
          <w:rFonts w:ascii="Arial" w:eastAsia="Arial" w:hAnsi="Arial" w:cs="Arial"/>
          <w:sz w:val="20"/>
          <w:szCs w:val="20"/>
        </w:rPr>
        <w:tab/>
      </w:r>
    </w:p>
    <w:p w14:paraId="633A2B18" w14:textId="77777777" w:rsidR="00FC4D31" w:rsidRPr="001A5EA3" w:rsidRDefault="00FC4D31" w:rsidP="001C4C4C">
      <w:pPr>
        <w:pStyle w:val="ListParagraph"/>
        <w:numPr>
          <w:ilvl w:val="2"/>
          <w:numId w:val="19"/>
        </w:numPr>
        <w:rPr>
          <w:rFonts w:ascii="Arial" w:eastAsia="Arial" w:hAnsi="Arial" w:cs="Arial"/>
          <w:sz w:val="20"/>
          <w:szCs w:val="20"/>
        </w:rPr>
      </w:pPr>
      <w:r w:rsidRPr="001A5EA3">
        <w:rPr>
          <w:rFonts w:ascii="Arial" w:eastAsia="Arial" w:hAnsi="Arial" w:cs="Arial"/>
          <w:sz w:val="20"/>
          <w:szCs w:val="20"/>
        </w:rPr>
        <w:t>Cohort 7: (continuing since 2019-20) = 3</w:t>
      </w:r>
      <w:r w:rsidRPr="001A5EA3">
        <w:rPr>
          <w:rFonts w:ascii="Arial" w:eastAsia="Arial" w:hAnsi="Arial" w:cs="Arial"/>
          <w:sz w:val="20"/>
          <w:szCs w:val="20"/>
        </w:rPr>
        <w:tab/>
      </w:r>
    </w:p>
    <w:p w14:paraId="49943539" w14:textId="77777777" w:rsidR="00FC4D31" w:rsidRPr="001A5EA3" w:rsidRDefault="00FC4D31" w:rsidP="001C4C4C">
      <w:pPr>
        <w:pStyle w:val="ListParagraph"/>
        <w:numPr>
          <w:ilvl w:val="2"/>
          <w:numId w:val="19"/>
        </w:numPr>
        <w:rPr>
          <w:rFonts w:ascii="Arial" w:eastAsia="Arial" w:hAnsi="Arial" w:cs="Arial"/>
          <w:sz w:val="20"/>
          <w:szCs w:val="20"/>
        </w:rPr>
      </w:pPr>
      <w:r w:rsidRPr="001A5EA3">
        <w:rPr>
          <w:rFonts w:ascii="Arial" w:eastAsia="Arial" w:hAnsi="Arial" w:cs="Arial"/>
          <w:sz w:val="20"/>
          <w:szCs w:val="20"/>
        </w:rPr>
        <w:t>Cohort 6: (</w:t>
      </w:r>
      <w:proofErr w:type="gramStart"/>
      <w:r w:rsidRPr="001A5EA3">
        <w:rPr>
          <w:rFonts w:ascii="Arial" w:eastAsia="Arial" w:hAnsi="Arial" w:cs="Arial"/>
          <w:sz w:val="20"/>
          <w:szCs w:val="20"/>
        </w:rPr>
        <w:t>still continuing</w:t>
      </w:r>
      <w:proofErr w:type="gramEnd"/>
      <w:r w:rsidRPr="001A5EA3">
        <w:rPr>
          <w:rFonts w:ascii="Arial" w:eastAsia="Arial" w:hAnsi="Arial" w:cs="Arial"/>
          <w:sz w:val="20"/>
          <w:szCs w:val="20"/>
        </w:rPr>
        <w:t xml:space="preserve"> since 2018-19) = 5</w:t>
      </w:r>
      <w:r w:rsidRPr="001A5EA3">
        <w:rPr>
          <w:rFonts w:ascii="Arial" w:eastAsia="Arial" w:hAnsi="Arial" w:cs="Arial"/>
          <w:sz w:val="20"/>
          <w:szCs w:val="20"/>
        </w:rPr>
        <w:tab/>
      </w:r>
    </w:p>
    <w:p w14:paraId="55CAAF10" w14:textId="77777777" w:rsidR="00FC4D31" w:rsidRPr="001A5EA3" w:rsidRDefault="00FC4D31" w:rsidP="001C4C4C">
      <w:pPr>
        <w:pStyle w:val="ListParagraph"/>
        <w:numPr>
          <w:ilvl w:val="2"/>
          <w:numId w:val="19"/>
        </w:numPr>
        <w:rPr>
          <w:rFonts w:ascii="Arial" w:eastAsia="Arial" w:hAnsi="Arial" w:cs="Arial"/>
          <w:sz w:val="20"/>
          <w:szCs w:val="20"/>
        </w:rPr>
      </w:pPr>
      <w:r w:rsidRPr="001A5EA3">
        <w:rPr>
          <w:rFonts w:ascii="Arial" w:eastAsia="Arial" w:hAnsi="Arial" w:cs="Arial"/>
          <w:sz w:val="20"/>
          <w:szCs w:val="20"/>
        </w:rPr>
        <w:t>Cohort 5: (continuing since 2017-18) = 2</w:t>
      </w:r>
      <w:r w:rsidRPr="001A5EA3">
        <w:rPr>
          <w:rFonts w:ascii="Arial" w:eastAsia="Arial" w:hAnsi="Arial" w:cs="Arial"/>
          <w:sz w:val="20"/>
          <w:szCs w:val="20"/>
        </w:rPr>
        <w:tab/>
      </w:r>
    </w:p>
    <w:p w14:paraId="5BAACD1B" w14:textId="77777777" w:rsidR="00FC4D31" w:rsidRPr="00B47D0F" w:rsidRDefault="00FC4D31" w:rsidP="001C4C4C">
      <w:pPr>
        <w:pStyle w:val="ListParagraph"/>
        <w:numPr>
          <w:ilvl w:val="1"/>
          <w:numId w:val="19"/>
        </w:numPr>
        <w:rPr>
          <w:rFonts w:ascii="Arial" w:eastAsia="Arial" w:hAnsi="Arial" w:cs="Arial"/>
        </w:rPr>
      </w:pPr>
      <w:r w:rsidRPr="00B47D0F">
        <w:rPr>
          <w:rFonts w:ascii="Arial" w:eastAsia="Arial" w:hAnsi="Arial" w:cs="Arial"/>
        </w:rPr>
        <w:t>Thomas Foundation Scholars: (</w:t>
      </w:r>
      <w:proofErr w:type="gramStart"/>
      <w:r w:rsidRPr="00B47D0F">
        <w:rPr>
          <w:rFonts w:ascii="Arial" w:eastAsia="Arial" w:hAnsi="Arial" w:cs="Arial"/>
        </w:rPr>
        <w:t>4 year</w:t>
      </w:r>
      <w:proofErr w:type="gramEnd"/>
      <w:r w:rsidRPr="00B47D0F">
        <w:rPr>
          <w:rFonts w:ascii="Arial" w:eastAsia="Arial" w:hAnsi="Arial" w:cs="Arial"/>
        </w:rPr>
        <w:t xml:space="preserve"> scholars)</w:t>
      </w:r>
      <w:r>
        <w:rPr>
          <w:rFonts w:ascii="Arial" w:eastAsia="Arial" w:hAnsi="Arial" w:cs="Arial"/>
        </w:rPr>
        <w:t xml:space="preserve"> = </w:t>
      </w:r>
      <w:r w:rsidRPr="00B47D0F">
        <w:rPr>
          <w:rFonts w:ascii="Arial" w:eastAsia="Arial" w:hAnsi="Arial" w:cs="Arial"/>
        </w:rPr>
        <w:t>14</w:t>
      </w:r>
      <w:r w:rsidRPr="00B47D0F">
        <w:rPr>
          <w:rFonts w:ascii="Arial" w:eastAsia="Arial" w:hAnsi="Arial" w:cs="Arial"/>
        </w:rPr>
        <w:tab/>
      </w:r>
    </w:p>
    <w:p w14:paraId="428B6BE9" w14:textId="77777777" w:rsidR="00FC4D31" w:rsidRPr="00B47D0F" w:rsidRDefault="00FC4D31" w:rsidP="001C4C4C">
      <w:pPr>
        <w:pStyle w:val="ListParagraph"/>
        <w:numPr>
          <w:ilvl w:val="1"/>
          <w:numId w:val="19"/>
        </w:numPr>
        <w:rPr>
          <w:rFonts w:ascii="Arial" w:eastAsia="Arial" w:hAnsi="Arial" w:cs="Arial"/>
        </w:rPr>
      </w:pPr>
      <w:r w:rsidRPr="00B47D0F">
        <w:rPr>
          <w:rFonts w:ascii="Arial" w:eastAsia="Arial" w:hAnsi="Arial" w:cs="Arial"/>
        </w:rPr>
        <w:t>John Lyon’s Charity Scholars: (</w:t>
      </w:r>
      <w:proofErr w:type="gramStart"/>
      <w:r w:rsidRPr="00B47D0F">
        <w:rPr>
          <w:rFonts w:ascii="Arial" w:eastAsia="Arial" w:hAnsi="Arial" w:cs="Arial"/>
        </w:rPr>
        <w:t>4 year</w:t>
      </w:r>
      <w:proofErr w:type="gramEnd"/>
      <w:r w:rsidRPr="00B47D0F">
        <w:rPr>
          <w:rFonts w:ascii="Arial" w:eastAsia="Arial" w:hAnsi="Arial" w:cs="Arial"/>
        </w:rPr>
        <w:t xml:space="preserve"> scholars)</w:t>
      </w:r>
      <w:r w:rsidRPr="00B47D0F">
        <w:rPr>
          <w:rFonts w:ascii="Arial" w:eastAsia="Arial" w:hAnsi="Arial" w:cs="Arial"/>
        </w:rPr>
        <w:tab/>
      </w:r>
      <w:r>
        <w:rPr>
          <w:rFonts w:ascii="Arial" w:eastAsia="Arial" w:hAnsi="Arial" w:cs="Arial"/>
        </w:rPr>
        <w:t xml:space="preserve">= </w:t>
      </w:r>
      <w:r w:rsidRPr="00B47D0F">
        <w:rPr>
          <w:rFonts w:ascii="Arial" w:eastAsia="Arial" w:hAnsi="Arial" w:cs="Arial"/>
        </w:rPr>
        <w:t>8</w:t>
      </w:r>
      <w:r w:rsidRPr="00B47D0F">
        <w:rPr>
          <w:rFonts w:ascii="Arial" w:eastAsia="Arial" w:hAnsi="Arial" w:cs="Arial"/>
        </w:rPr>
        <w:tab/>
      </w:r>
    </w:p>
    <w:p w14:paraId="79B7A115" w14:textId="77777777" w:rsidR="00FC4D31" w:rsidRPr="00B47D0F" w:rsidRDefault="00FC4D31" w:rsidP="001C4C4C">
      <w:pPr>
        <w:pStyle w:val="ListParagraph"/>
        <w:numPr>
          <w:ilvl w:val="1"/>
          <w:numId w:val="19"/>
        </w:numPr>
        <w:rPr>
          <w:rFonts w:ascii="Arial" w:eastAsia="Arial" w:hAnsi="Arial" w:cs="Arial"/>
        </w:rPr>
      </w:pPr>
      <w:r w:rsidRPr="00B47D0F">
        <w:rPr>
          <w:rFonts w:ascii="Arial" w:eastAsia="Arial" w:hAnsi="Arial" w:cs="Arial"/>
        </w:rPr>
        <w:t xml:space="preserve">Get Set Play (RCM) Support: </w:t>
      </w:r>
      <w:r>
        <w:rPr>
          <w:rFonts w:ascii="Arial" w:eastAsia="Arial" w:hAnsi="Arial" w:cs="Arial"/>
        </w:rPr>
        <w:t xml:space="preserve">= </w:t>
      </w:r>
      <w:r w:rsidRPr="00B47D0F">
        <w:rPr>
          <w:rFonts w:ascii="Arial" w:eastAsia="Arial" w:hAnsi="Arial" w:cs="Arial"/>
        </w:rPr>
        <w:t>15</w:t>
      </w:r>
      <w:r w:rsidRPr="00B47D0F">
        <w:rPr>
          <w:rFonts w:ascii="Arial" w:eastAsia="Arial" w:hAnsi="Arial" w:cs="Arial"/>
        </w:rPr>
        <w:tab/>
      </w:r>
    </w:p>
    <w:p w14:paraId="112AAE6D" w14:textId="5FCE340D" w:rsidR="00FC4D31" w:rsidRPr="00945C32" w:rsidRDefault="00FC4D31" w:rsidP="001C4C4C">
      <w:pPr>
        <w:pStyle w:val="ListParagraph"/>
        <w:numPr>
          <w:ilvl w:val="1"/>
          <w:numId w:val="19"/>
        </w:numPr>
        <w:rPr>
          <w:rFonts w:ascii="Arial" w:eastAsia="Arial" w:hAnsi="Arial" w:cs="Arial"/>
        </w:rPr>
      </w:pPr>
      <w:r w:rsidRPr="00B47D0F">
        <w:rPr>
          <w:rFonts w:ascii="Arial" w:eastAsia="Arial" w:hAnsi="Arial" w:cs="Arial"/>
        </w:rPr>
        <w:t xml:space="preserve">Musical Senses Bursaries: </w:t>
      </w:r>
      <w:r>
        <w:rPr>
          <w:rFonts w:ascii="Arial" w:eastAsia="Arial" w:hAnsi="Arial" w:cs="Arial"/>
        </w:rPr>
        <w:t xml:space="preserve">= </w:t>
      </w:r>
      <w:r w:rsidRPr="00B47D0F">
        <w:rPr>
          <w:rFonts w:ascii="Arial" w:eastAsia="Arial" w:hAnsi="Arial" w:cs="Arial"/>
        </w:rPr>
        <w:t>4</w:t>
      </w:r>
      <w:r>
        <w:rPr>
          <w:rFonts w:ascii="Arial" w:eastAsia="Arial" w:hAnsi="Arial" w:cs="Arial"/>
        </w:rPr>
        <w:t xml:space="preserve"> </w:t>
      </w:r>
      <w:r w:rsidRPr="00B47D0F">
        <w:rPr>
          <w:rFonts w:ascii="Arial" w:eastAsia="Arial" w:hAnsi="Arial" w:cs="Arial"/>
        </w:rPr>
        <w:tab/>
      </w:r>
    </w:p>
    <w:p w14:paraId="48296F71" w14:textId="3FBAC3E8" w:rsidR="00485E79" w:rsidRDefault="00804BDA" w:rsidP="001C4C4C">
      <w:pPr>
        <w:pStyle w:val="ListParagraph"/>
        <w:numPr>
          <w:ilvl w:val="0"/>
          <w:numId w:val="19"/>
        </w:numPr>
        <w:rPr>
          <w:rFonts w:ascii="Arial" w:hAnsi="Arial" w:cs="Arial"/>
        </w:rPr>
      </w:pPr>
      <w:r>
        <w:rPr>
          <w:rFonts w:ascii="Arial" w:hAnsi="Arial" w:cs="Arial"/>
        </w:rPr>
        <w:t>Within our own activity we run all mid-week after-school classes at the Lyric, and our large Saturday Music School.</w:t>
      </w:r>
    </w:p>
    <w:p w14:paraId="27D50540" w14:textId="77777777" w:rsidR="00E14549" w:rsidRPr="001A5EA3" w:rsidRDefault="00E14549" w:rsidP="001C4C4C">
      <w:pPr>
        <w:numPr>
          <w:ilvl w:val="0"/>
          <w:numId w:val="22"/>
        </w:numPr>
        <w:pBdr>
          <w:top w:val="nil"/>
          <w:left w:val="nil"/>
          <w:bottom w:val="nil"/>
          <w:right w:val="nil"/>
          <w:between w:val="nil"/>
        </w:pBdr>
        <w:rPr>
          <w:rFonts w:ascii="Arial" w:eastAsia="Arial" w:hAnsi="Arial" w:cs="Arial"/>
          <w:color w:val="000000"/>
          <w:sz w:val="20"/>
          <w:szCs w:val="20"/>
        </w:rPr>
      </w:pPr>
      <w:r w:rsidRPr="001A5EA3">
        <w:rPr>
          <w:rFonts w:ascii="Arial" w:eastAsia="Arial" w:hAnsi="Arial" w:cs="Arial"/>
          <w:i/>
          <w:color w:val="96004B"/>
          <w:sz w:val="20"/>
          <w:szCs w:val="20"/>
        </w:rPr>
        <w:t>First Voices</w:t>
      </w:r>
      <w:r w:rsidRPr="001A5EA3">
        <w:rPr>
          <w:rFonts w:ascii="Arial" w:eastAsia="Arial" w:hAnsi="Arial" w:cs="Arial"/>
          <w:color w:val="000000"/>
          <w:sz w:val="20"/>
          <w:szCs w:val="20"/>
        </w:rPr>
        <w:t>: Choir for Pupils in Yr 1, Yr 2 (23 pupils) + 1 RCM Mentor</w:t>
      </w:r>
    </w:p>
    <w:p w14:paraId="323734C1" w14:textId="77777777" w:rsidR="00E14549" w:rsidRPr="001A5EA3" w:rsidRDefault="00E14549" w:rsidP="001C4C4C">
      <w:pPr>
        <w:numPr>
          <w:ilvl w:val="0"/>
          <w:numId w:val="22"/>
        </w:numPr>
        <w:pBdr>
          <w:top w:val="nil"/>
          <w:left w:val="nil"/>
          <w:bottom w:val="nil"/>
          <w:right w:val="nil"/>
          <w:between w:val="nil"/>
        </w:pBdr>
        <w:rPr>
          <w:rFonts w:ascii="Arial" w:eastAsia="Arial" w:hAnsi="Arial" w:cs="Arial"/>
          <w:color w:val="000000"/>
          <w:sz w:val="20"/>
          <w:szCs w:val="20"/>
        </w:rPr>
      </w:pPr>
      <w:r w:rsidRPr="001A5EA3">
        <w:rPr>
          <w:rFonts w:ascii="Arial" w:eastAsia="Arial" w:hAnsi="Arial" w:cs="Arial"/>
          <w:i/>
          <w:color w:val="96004B"/>
          <w:sz w:val="20"/>
          <w:szCs w:val="20"/>
        </w:rPr>
        <w:t>Junior Voices</w:t>
      </w:r>
      <w:r w:rsidRPr="001A5EA3">
        <w:rPr>
          <w:rFonts w:ascii="Arial" w:eastAsia="Arial" w:hAnsi="Arial" w:cs="Arial"/>
          <w:color w:val="000000"/>
          <w:sz w:val="20"/>
          <w:szCs w:val="20"/>
        </w:rPr>
        <w:t>: Choir for Pupils in Yr3-Yr6 (40 pupils) + 1 RCM Mentor</w:t>
      </w:r>
    </w:p>
    <w:p w14:paraId="0AEF950D" w14:textId="77777777" w:rsidR="00E14549" w:rsidRPr="001A5EA3" w:rsidRDefault="00E14549" w:rsidP="001C4C4C">
      <w:pPr>
        <w:numPr>
          <w:ilvl w:val="0"/>
          <w:numId w:val="22"/>
        </w:numPr>
        <w:pBdr>
          <w:top w:val="nil"/>
          <w:left w:val="nil"/>
          <w:bottom w:val="nil"/>
          <w:right w:val="nil"/>
          <w:between w:val="nil"/>
        </w:pBdr>
        <w:rPr>
          <w:rFonts w:ascii="Arial" w:eastAsia="Arial" w:hAnsi="Arial" w:cs="Arial"/>
          <w:color w:val="000000"/>
          <w:sz w:val="20"/>
          <w:szCs w:val="20"/>
        </w:rPr>
      </w:pPr>
      <w:r w:rsidRPr="001A5EA3">
        <w:rPr>
          <w:rFonts w:ascii="Arial" w:eastAsia="Arial" w:hAnsi="Arial" w:cs="Arial"/>
          <w:i/>
          <w:color w:val="96004B"/>
          <w:sz w:val="20"/>
          <w:szCs w:val="20"/>
        </w:rPr>
        <w:t>Next Level Voices</w:t>
      </w:r>
      <w:r w:rsidRPr="001A5EA3">
        <w:rPr>
          <w:rFonts w:ascii="Arial" w:eastAsia="Arial" w:hAnsi="Arial" w:cs="Arial"/>
          <w:color w:val="000000"/>
          <w:sz w:val="20"/>
          <w:szCs w:val="20"/>
        </w:rPr>
        <w:t>: Choir for Pupils in Yr7-Yr13 (30 pupils) + 1 RCM Mentor</w:t>
      </w:r>
    </w:p>
    <w:p w14:paraId="2435CB65" w14:textId="77777777" w:rsidR="00E14549" w:rsidRPr="001A5EA3" w:rsidRDefault="00E14549" w:rsidP="001C4C4C">
      <w:pPr>
        <w:numPr>
          <w:ilvl w:val="0"/>
          <w:numId w:val="22"/>
        </w:numPr>
        <w:pBdr>
          <w:top w:val="nil"/>
          <w:left w:val="nil"/>
          <w:bottom w:val="nil"/>
          <w:right w:val="nil"/>
          <w:between w:val="nil"/>
        </w:pBdr>
        <w:rPr>
          <w:rFonts w:ascii="Arial" w:eastAsia="Arial" w:hAnsi="Arial" w:cs="Arial"/>
          <w:color w:val="000000"/>
          <w:sz w:val="20"/>
          <w:szCs w:val="20"/>
        </w:rPr>
      </w:pPr>
      <w:r w:rsidRPr="001A5EA3">
        <w:rPr>
          <w:rFonts w:ascii="Arial" w:eastAsia="Arial" w:hAnsi="Arial" w:cs="Arial"/>
          <w:i/>
          <w:color w:val="96004B"/>
          <w:sz w:val="20"/>
          <w:szCs w:val="20"/>
        </w:rPr>
        <w:t>First Sounds</w:t>
      </w:r>
      <w:r w:rsidRPr="001A5EA3">
        <w:rPr>
          <w:rFonts w:ascii="Arial" w:eastAsia="Arial" w:hAnsi="Arial" w:cs="Arial"/>
          <w:color w:val="000000"/>
          <w:sz w:val="20"/>
          <w:szCs w:val="20"/>
        </w:rPr>
        <w:t>: Ensemble for instrumentalists up to Grade 1 (10 pupils) + 2 RCM Mentors</w:t>
      </w:r>
    </w:p>
    <w:p w14:paraId="3EC8B9F5" w14:textId="77777777" w:rsidR="00E14549" w:rsidRPr="001A5EA3" w:rsidRDefault="00E14549" w:rsidP="001C4C4C">
      <w:pPr>
        <w:numPr>
          <w:ilvl w:val="0"/>
          <w:numId w:val="22"/>
        </w:numPr>
        <w:pBdr>
          <w:top w:val="nil"/>
          <w:left w:val="nil"/>
          <w:bottom w:val="nil"/>
          <w:right w:val="nil"/>
          <w:between w:val="nil"/>
        </w:pBdr>
        <w:rPr>
          <w:rFonts w:ascii="Arial" w:eastAsia="Arial" w:hAnsi="Arial" w:cs="Arial"/>
          <w:color w:val="000000"/>
          <w:sz w:val="20"/>
          <w:szCs w:val="20"/>
        </w:rPr>
      </w:pPr>
      <w:r w:rsidRPr="001A5EA3">
        <w:rPr>
          <w:rFonts w:ascii="Arial" w:eastAsia="Arial" w:hAnsi="Arial" w:cs="Arial"/>
          <w:i/>
          <w:color w:val="96004B"/>
          <w:sz w:val="20"/>
          <w:szCs w:val="20"/>
        </w:rPr>
        <w:t>Breakout Band</w:t>
      </w:r>
      <w:r w:rsidRPr="001A5EA3">
        <w:rPr>
          <w:rFonts w:ascii="Arial" w:eastAsia="Arial" w:hAnsi="Arial" w:cs="Arial"/>
          <w:color w:val="000000"/>
          <w:sz w:val="20"/>
          <w:szCs w:val="20"/>
        </w:rPr>
        <w:t>: Ensemble for instrumentalists from Grade 2-4 (23 pupils) + 3 RCM Mentors</w:t>
      </w:r>
    </w:p>
    <w:p w14:paraId="3592C4CB" w14:textId="77777777" w:rsidR="00E14549" w:rsidRPr="001A5EA3" w:rsidRDefault="00E14549" w:rsidP="001C4C4C">
      <w:pPr>
        <w:numPr>
          <w:ilvl w:val="0"/>
          <w:numId w:val="22"/>
        </w:numPr>
        <w:pBdr>
          <w:top w:val="nil"/>
          <w:left w:val="nil"/>
          <w:bottom w:val="nil"/>
          <w:right w:val="nil"/>
          <w:between w:val="nil"/>
        </w:pBdr>
        <w:rPr>
          <w:rFonts w:ascii="Arial" w:eastAsia="Arial" w:hAnsi="Arial" w:cs="Arial"/>
          <w:color w:val="000000"/>
          <w:sz w:val="20"/>
          <w:szCs w:val="20"/>
        </w:rPr>
      </w:pPr>
      <w:r w:rsidRPr="001A5EA3">
        <w:rPr>
          <w:rFonts w:ascii="Arial" w:eastAsia="Arial" w:hAnsi="Arial" w:cs="Arial"/>
          <w:i/>
          <w:color w:val="96004B"/>
          <w:sz w:val="20"/>
          <w:szCs w:val="20"/>
        </w:rPr>
        <w:t>Large Group Guitar Class</w:t>
      </w:r>
      <w:r w:rsidRPr="001A5EA3">
        <w:rPr>
          <w:rFonts w:ascii="Arial" w:eastAsia="Arial" w:hAnsi="Arial" w:cs="Arial"/>
          <w:color w:val="000000"/>
          <w:sz w:val="20"/>
          <w:szCs w:val="20"/>
        </w:rPr>
        <w:t>: Guitarists from beginner to Grade 3 (10 pupils) + 1 RCM Mentor</w:t>
      </w:r>
    </w:p>
    <w:p w14:paraId="5A9482F3" w14:textId="77777777" w:rsidR="00E14549" w:rsidRPr="001A5EA3" w:rsidRDefault="00E14549" w:rsidP="001C4C4C">
      <w:pPr>
        <w:numPr>
          <w:ilvl w:val="0"/>
          <w:numId w:val="22"/>
        </w:numPr>
        <w:pBdr>
          <w:top w:val="nil"/>
          <w:left w:val="nil"/>
          <w:bottom w:val="nil"/>
          <w:right w:val="nil"/>
          <w:between w:val="nil"/>
        </w:pBdr>
        <w:rPr>
          <w:rFonts w:ascii="Arial" w:eastAsia="Arial" w:hAnsi="Arial" w:cs="Arial"/>
          <w:color w:val="000000"/>
          <w:sz w:val="20"/>
          <w:szCs w:val="20"/>
        </w:rPr>
      </w:pPr>
      <w:r w:rsidRPr="001A5EA3">
        <w:rPr>
          <w:rFonts w:ascii="Arial" w:eastAsia="Arial" w:hAnsi="Arial" w:cs="Arial"/>
          <w:i/>
          <w:color w:val="96004B"/>
          <w:sz w:val="20"/>
          <w:szCs w:val="20"/>
        </w:rPr>
        <w:t>Cello Maestros</w:t>
      </w:r>
      <w:r w:rsidRPr="001A5EA3">
        <w:rPr>
          <w:rFonts w:ascii="Arial" w:eastAsia="Arial" w:hAnsi="Arial" w:cs="Arial"/>
          <w:color w:val="000000"/>
          <w:sz w:val="20"/>
          <w:szCs w:val="20"/>
        </w:rPr>
        <w:t>: 1:1/paired lessons (7 pupils)</w:t>
      </w:r>
    </w:p>
    <w:p w14:paraId="0E709100" w14:textId="77777777" w:rsidR="00E14549" w:rsidRPr="001A5EA3" w:rsidRDefault="00E14549" w:rsidP="001C4C4C">
      <w:pPr>
        <w:numPr>
          <w:ilvl w:val="0"/>
          <w:numId w:val="22"/>
        </w:numPr>
        <w:pBdr>
          <w:top w:val="nil"/>
          <w:left w:val="nil"/>
          <w:bottom w:val="nil"/>
          <w:right w:val="nil"/>
          <w:between w:val="nil"/>
        </w:pBdr>
        <w:rPr>
          <w:rFonts w:ascii="Arial" w:eastAsia="Arial" w:hAnsi="Arial" w:cs="Arial"/>
          <w:color w:val="000000"/>
          <w:sz w:val="20"/>
          <w:szCs w:val="20"/>
        </w:rPr>
      </w:pPr>
      <w:r w:rsidRPr="001A5EA3">
        <w:rPr>
          <w:rFonts w:ascii="Arial" w:eastAsia="Arial" w:hAnsi="Arial" w:cs="Arial"/>
          <w:i/>
          <w:color w:val="96004B"/>
          <w:sz w:val="20"/>
          <w:szCs w:val="20"/>
        </w:rPr>
        <w:t>Symphonic Band</w:t>
      </w:r>
      <w:r w:rsidRPr="001A5EA3">
        <w:rPr>
          <w:rFonts w:ascii="Arial" w:eastAsia="Arial" w:hAnsi="Arial" w:cs="Arial"/>
          <w:color w:val="000000"/>
          <w:sz w:val="20"/>
          <w:szCs w:val="20"/>
        </w:rPr>
        <w:t>: Ensemble for instrumentalists from Grade 5-8+ (33 pupils) + 3 RCM Mentors</w:t>
      </w:r>
    </w:p>
    <w:p w14:paraId="0F7775FC" w14:textId="77777777" w:rsidR="00E14549" w:rsidRPr="001A5EA3" w:rsidRDefault="00E14549" w:rsidP="001C4C4C">
      <w:pPr>
        <w:numPr>
          <w:ilvl w:val="0"/>
          <w:numId w:val="22"/>
        </w:numPr>
        <w:pBdr>
          <w:top w:val="nil"/>
          <w:left w:val="nil"/>
          <w:bottom w:val="nil"/>
          <w:right w:val="nil"/>
          <w:between w:val="nil"/>
        </w:pBdr>
        <w:rPr>
          <w:rFonts w:ascii="Arial" w:eastAsia="Arial" w:hAnsi="Arial" w:cs="Arial"/>
          <w:color w:val="000000"/>
          <w:sz w:val="20"/>
          <w:szCs w:val="20"/>
        </w:rPr>
      </w:pPr>
      <w:r w:rsidRPr="001A5EA3">
        <w:rPr>
          <w:rFonts w:ascii="Arial" w:eastAsia="Arial" w:hAnsi="Arial" w:cs="Arial"/>
          <w:i/>
          <w:color w:val="96004B"/>
          <w:sz w:val="20"/>
          <w:szCs w:val="20"/>
        </w:rPr>
        <w:t>Beginners Keyboard Class: 1</w:t>
      </w:r>
      <w:r w:rsidRPr="001A5EA3">
        <w:rPr>
          <w:rFonts w:ascii="Arial" w:eastAsia="Arial" w:hAnsi="Arial" w:cs="Arial"/>
          <w:color w:val="000000"/>
          <w:sz w:val="20"/>
          <w:szCs w:val="20"/>
        </w:rPr>
        <w:t>: Open access keyboard for pupils in Yr4-Yr9 (16 pupils)</w:t>
      </w:r>
    </w:p>
    <w:p w14:paraId="74F5F4DF" w14:textId="77777777" w:rsidR="00E14549" w:rsidRPr="001A5EA3" w:rsidRDefault="00E14549" w:rsidP="001C4C4C">
      <w:pPr>
        <w:numPr>
          <w:ilvl w:val="0"/>
          <w:numId w:val="22"/>
        </w:numPr>
        <w:pBdr>
          <w:top w:val="nil"/>
          <w:left w:val="nil"/>
          <w:bottom w:val="nil"/>
          <w:right w:val="nil"/>
          <w:between w:val="nil"/>
        </w:pBdr>
        <w:rPr>
          <w:rFonts w:ascii="Arial" w:eastAsia="Arial" w:hAnsi="Arial" w:cs="Arial"/>
          <w:color w:val="000000"/>
          <w:sz w:val="20"/>
          <w:szCs w:val="20"/>
        </w:rPr>
      </w:pPr>
      <w:r w:rsidRPr="001A5EA3">
        <w:rPr>
          <w:rFonts w:ascii="Arial" w:eastAsia="Arial" w:hAnsi="Arial" w:cs="Arial"/>
          <w:i/>
          <w:color w:val="96004B"/>
          <w:sz w:val="20"/>
          <w:szCs w:val="20"/>
        </w:rPr>
        <w:t>Continuers Keyboard Class 2</w:t>
      </w:r>
      <w:r w:rsidRPr="001A5EA3">
        <w:rPr>
          <w:rFonts w:ascii="Arial" w:eastAsia="Arial" w:hAnsi="Arial" w:cs="Arial"/>
          <w:color w:val="000000"/>
          <w:sz w:val="20"/>
          <w:szCs w:val="20"/>
        </w:rPr>
        <w:t>: Open access keyboard ensemble for pupils in Yr4-Yr9 (11 pupils)</w:t>
      </w:r>
    </w:p>
    <w:p w14:paraId="1AC01549" w14:textId="77777777" w:rsidR="00E14549" w:rsidRPr="001A5EA3" w:rsidRDefault="00E14549" w:rsidP="001C4C4C">
      <w:pPr>
        <w:numPr>
          <w:ilvl w:val="0"/>
          <w:numId w:val="22"/>
        </w:numPr>
        <w:pBdr>
          <w:top w:val="nil"/>
          <w:left w:val="nil"/>
          <w:bottom w:val="nil"/>
          <w:right w:val="nil"/>
          <w:between w:val="nil"/>
        </w:pBdr>
        <w:rPr>
          <w:rFonts w:ascii="Arial" w:eastAsia="Arial" w:hAnsi="Arial" w:cs="Arial"/>
          <w:color w:val="000000"/>
          <w:sz w:val="20"/>
          <w:szCs w:val="20"/>
        </w:rPr>
      </w:pPr>
      <w:r w:rsidRPr="001A5EA3">
        <w:rPr>
          <w:rFonts w:ascii="Arial" w:eastAsia="Arial" w:hAnsi="Arial" w:cs="Arial"/>
          <w:i/>
          <w:color w:val="96004B"/>
          <w:sz w:val="20"/>
          <w:szCs w:val="20"/>
        </w:rPr>
        <w:t>Music Production GarageBand</w:t>
      </w:r>
      <w:r w:rsidRPr="001A5EA3">
        <w:rPr>
          <w:rFonts w:ascii="Arial" w:eastAsia="Arial" w:hAnsi="Arial" w:cs="Arial"/>
          <w:color w:val="000000"/>
          <w:sz w:val="20"/>
          <w:szCs w:val="20"/>
        </w:rPr>
        <w:t>: Open to learners aged 7-11 (4 pupils) + 1 RCM Mentor</w:t>
      </w:r>
    </w:p>
    <w:p w14:paraId="55FD582D" w14:textId="77777777" w:rsidR="00E14549" w:rsidRPr="001A5EA3" w:rsidRDefault="00E14549" w:rsidP="001C4C4C">
      <w:pPr>
        <w:numPr>
          <w:ilvl w:val="0"/>
          <w:numId w:val="22"/>
        </w:numPr>
        <w:pBdr>
          <w:top w:val="nil"/>
          <w:left w:val="nil"/>
          <w:bottom w:val="nil"/>
          <w:right w:val="nil"/>
          <w:between w:val="nil"/>
        </w:pBdr>
        <w:rPr>
          <w:rFonts w:ascii="Arial" w:eastAsia="Arial" w:hAnsi="Arial" w:cs="Arial"/>
          <w:color w:val="000000"/>
          <w:sz w:val="20"/>
          <w:szCs w:val="20"/>
        </w:rPr>
      </w:pPr>
      <w:r w:rsidRPr="001A5EA3">
        <w:rPr>
          <w:rFonts w:ascii="Arial" w:eastAsia="Arial" w:hAnsi="Arial" w:cs="Arial"/>
          <w:i/>
          <w:color w:val="96004B"/>
          <w:sz w:val="20"/>
          <w:szCs w:val="20"/>
        </w:rPr>
        <w:t>Music Production Logic Pro X</w:t>
      </w:r>
      <w:r w:rsidRPr="001A5EA3">
        <w:rPr>
          <w:rFonts w:ascii="Arial" w:eastAsia="Arial" w:hAnsi="Arial" w:cs="Arial"/>
          <w:color w:val="000000"/>
          <w:sz w:val="20"/>
          <w:szCs w:val="20"/>
        </w:rPr>
        <w:t>: Open to learners aged 12-18 (9 pupils) + 1 RCM Mentor</w:t>
      </w:r>
    </w:p>
    <w:p w14:paraId="732C9B33" w14:textId="56A8ADF6" w:rsidR="00E14549" w:rsidRPr="001A5EA3" w:rsidRDefault="00E14549" w:rsidP="001C4C4C">
      <w:pPr>
        <w:numPr>
          <w:ilvl w:val="0"/>
          <w:numId w:val="22"/>
        </w:numPr>
        <w:pBdr>
          <w:top w:val="nil"/>
          <w:left w:val="nil"/>
          <w:bottom w:val="nil"/>
          <w:right w:val="nil"/>
          <w:between w:val="nil"/>
        </w:pBdr>
        <w:rPr>
          <w:rFonts w:ascii="Arial" w:eastAsia="Arial" w:hAnsi="Arial" w:cs="Arial"/>
          <w:color w:val="000000"/>
          <w:sz w:val="20"/>
          <w:szCs w:val="20"/>
        </w:rPr>
      </w:pPr>
      <w:r w:rsidRPr="001A5EA3">
        <w:rPr>
          <w:rFonts w:ascii="Arial" w:eastAsia="Arial" w:hAnsi="Arial" w:cs="Arial"/>
          <w:i/>
          <w:color w:val="96004B"/>
          <w:sz w:val="20"/>
          <w:szCs w:val="20"/>
        </w:rPr>
        <w:t>Saturday Music School</w:t>
      </w:r>
      <w:r w:rsidRPr="001A5EA3">
        <w:rPr>
          <w:rFonts w:ascii="Arial" w:eastAsia="Arial" w:hAnsi="Arial" w:cs="Arial"/>
          <w:color w:val="000000"/>
          <w:sz w:val="20"/>
          <w:szCs w:val="20"/>
        </w:rPr>
        <w:t>: lesson, theory, choir/ensemble (250 pupils) + 2 RCM Mentors</w:t>
      </w:r>
    </w:p>
    <w:p w14:paraId="114AE01A" w14:textId="62D669E0" w:rsidR="00E14549" w:rsidRPr="00447C26" w:rsidRDefault="00E14549" w:rsidP="001C4C4C">
      <w:pPr>
        <w:ind w:left="720"/>
        <w:rPr>
          <w:rFonts w:ascii="Arial" w:eastAsia="Arial" w:hAnsi="Arial" w:cs="Arial"/>
        </w:rPr>
      </w:pPr>
      <w:r w:rsidRPr="00447C26">
        <w:rPr>
          <w:rFonts w:ascii="Arial" w:eastAsia="Arial" w:hAnsi="Arial" w:cs="Arial"/>
        </w:rPr>
        <w:t>Digital delivery include</w:t>
      </w:r>
      <w:r w:rsidR="00D66645">
        <w:rPr>
          <w:rFonts w:ascii="Arial" w:eastAsia="Arial" w:hAnsi="Arial" w:cs="Arial"/>
        </w:rPr>
        <w:t>s</w:t>
      </w:r>
      <w:r w:rsidRPr="00447C26">
        <w:rPr>
          <w:rFonts w:ascii="Arial" w:eastAsia="Arial" w:hAnsi="Arial" w:cs="Arial"/>
        </w:rPr>
        <w:t>:</w:t>
      </w:r>
    </w:p>
    <w:p w14:paraId="00840091" w14:textId="77777777" w:rsidR="00E14549" w:rsidRPr="001A5EA3" w:rsidRDefault="00E14549" w:rsidP="001C4C4C">
      <w:pPr>
        <w:numPr>
          <w:ilvl w:val="0"/>
          <w:numId w:val="22"/>
        </w:numPr>
        <w:pBdr>
          <w:top w:val="nil"/>
          <w:left w:val="nil"/>
          <w:bottom w:val="nil"/>
          <w:right w:val="nil"/>
          <w:between w:val="nil"/>
        </w:pBdr>
        <w:rPr>
          <w:rFonts w:ascii="Arial" w:eastAsia="Arial" w:hAnsi="Arial" w:cs="Arial"/>
          <w:i/>
          <w:color w:val="96004B"/>
          <w:sz w:val="20"/>
          <w:szCs w:val="20"/>
        </w:rPr>
      </w:pPr>
      <w:r w:rsidRPr="001A5EA3">
        <w:rPr>
          <w:rFonts w:ascii="Arial" w:eastAsia="Arial" w:hAnsi="Arial" w:cs="Arial"/>
          <w:i/>
          <w:color w:val="96004B"/>
          <w:sz w:val="20"/>
          <w:szCs w:val="20"/>
        </w:rPr>
        <w:t>Cello Maestro online: Years 4-13 (2 pupils)</w:t>
      </w:r>
    </w:p>
    <w:p w14:paraId="7290608D" w14:textId="2A76E17B" w:rsidR="00E14549" w:rsidRPr="001A5EA3" w:rsidRDefault="00E14549" w:rsidP="001C4C4C">
      <w:pPr>
        <w:numPr>
          <w:ilvl w:val="0"/>
          <w:numId w:val="22"/>
        </w:numPr>
        <w:pBdr>
          <w:top w:val="nil"/>
          <w:left w:val="nil"/>
          <w:bottom w:val="nil"/>
          <w:right w:val="nil"/>
          <w:between w:val="nil"/>
        </w:pBdr>
        <w:rPr>
          <w:rFonts w:ascii="Arial" w:eastAsia="Arial" w:hAnsi="Arial" w:cs="Arial"/>
          <w:i/>
          <w:color w:val="96004B"/>
          <w:sz w:val="20"/>
          <w:szCs w:val="20"/>
        </w:rPr>
      </w:pPr>
      <w:r w:rsidRPr="001A5EA3">
        <w:rPr>
          <w:rFonts w:ascii="Arial" w:eastAsia="Arial" w:hAnsi="Arial" w:cs="Arial"/>
          <w:i/>
          <w:color w:val="96004B"/>
          <w:sz w:val="20"/>
          <w:szCs w:val="20"/>
        </w:rPr>
        <w:t xml:space="preserve">Online Lesson </w:t>
      </w:r>
      <w:proofErr w:type="gramStart"/>
      <w:r w:rsidRPr="001A5EA3">
        <w:rPr>
          <w:rFonts w:ascii="Arial" w:eastAsia="Arial" w:hAnsi="Arial" w:cs="Arial"/>
          <w:i/>
          <w:color w:val="96004B"/>
          <w:sz w:val="20"/>
          <w:szCs w:val="20"/>
        </w:rPr>
        <w:t>Bundles::</w:t>
      </w:r>
      <w:proofErr w:type="gramEnd"/>
      <w:r w:rsidRPr="001A5EA3">
        <w:rPr>
          <w:rFonts w:ascii="Arial" w:eastAsia="Arial" w:hAnsi="Arial" w:cs="Arial"/>
          <w:i/>
          <w:color w:val="96004B"/>
          <w:sz w:val="20"/>
          <w:szCs w:val="20"/>
        </w:rPr>
        <w:t xml:space="preserve"> Years 3-13 (18 pupils)</w:t>
      </w:r>
    </w:p>
    <w:p w14:paraId="1AB9BC28" w14:textId="77777777" w:rsidR="004A0E8A" w:rsidRDefault="004A0E8A" w:rsidP="001C4C4C">
      <w:pPr>
        <w:rPr>
          <w:rFonts w:ascii="Arial" w:hAnsi="Arial" w:cs="Arial"/>
        </w:rPr>
      </w:pPr>
    </w:p>
    <w:p w14:paraId="7B641D40" w14:textId="77777777" w:rsidR="00D50040" w:rsidRDefault="00D50040" w:rsidP="001C4C4C">
      <w:pPr>
        <w:rPr>
          <w:rFonts w:ascii="Arial" w:hAnsi="Arial" w:cs="Arial"/>
        </w:rPr>
      </w:pPr>
    </w:p>
    <w:p w14:paraId="3B536D5E" w14:textId="77777777" w:rsidR="00D50040" w:rsidRDefault="00D50040" w:rsidP="001C4C4C">
      <w:pPr>
        <w:rPr>
          <w:rFonts w:ascii="Arial" w:hAnsi="Arial" w:cs="Arial"/>
        </w:rPr>
      </w:pPr>
    </w:p>
    <w:p w14:paraId="71B44BFC" w14:textId="77777777" w:rsidR="00D50040" w:rsidRDefault="00D50040" w:rsidP="001C4C4C">
      <w:pPr>
        <w:rPr>
          <w:rFonts w:ascii="Arial" w:hAnsi="Arial" w:cs="Arial"/>
        </w:rPr>
      </w:pPr>
    </w:p>
    <w:p w14:paraId="5C4F335C" w14:textId="77777777" w:rsidR="00D50040" w:rsidRDefault="00D50040" w:rsidP="001C4C4C">
      <w:pPr>
        <w:rPr>
          <w:rFonts w:ascii="Arial" w:hAnsi="Arial" w:cs="Arial"/>
        </w:rPr>
      </w:pPr>
    </w:p>
    <w:p w14:paraId="0F55880C" w14:textId="2CD401A0" w:rsidR="00D569CA" w:rsidRPr="00104C65" w:rsidRDefault="00945C32" w:rsidP="001C4C4C">
      <w:pPr>
        <w:rPr>
          <w:rFonts w:ascii="Arial" w:hAnsi="Arial" w:cs="Arial"/>
        </w:rPr>
      </w:pPr>
      <w:r>
        <w:rPr>
          <w:rFonts w:ascii="Arial" w:hAnsi="Arial" w:cs="Arial"/>
        </w:rPr>
        <w:lastRenderedPageBreak/>
        <w:t xml:space="preserve">The </w:t>
      </w:r>
      <w:r w:rsidR="00235DD2">
        <w:rPr>
          <w:rFonts w:ascii="Arial" w:hAnsi="Arial" w:cs="Arial"/>
        </w:rPr>
        <w:t>Tri-borough Music</w:t>
      </w:r>
      <w:r w:rsidR="00D569CA" w:rsidRPr="00104C65">
        <w:rPr>
          <w:rFonts w:ascii="Arial" w:hAnsi="Arial" w:cs="Arial"/>
        </w:rPr>
        <w:t xml:space="preserve"> Hub:</w:t>
      </w:r>
    </w:p>
    <w:p w14:paraId="5F50FB3D" w14:textId="7D4477C9" w:rsidR="00D569CA" w:rsidRPr="00104C65" w:rsidRDefault="00D569CA" w:rsidP="001C4C4C">
      <w:pPr>
        <w:numPr>
          <w:ilvl w:val="0"/>
          <w:numId w:val="8"/>
        </w:numPr>
        <w:ind w:left="360"/>
        <w:contextualSpacing/>
        <w:rPr>
          <w:rFonts w:ascii="Arial" w:hAnsi="Arial" w:cs="Arial"/>
          <w:kern w:val="2"/>
          <w14:ligatures w14:val="standardContextual"/>
        </w:rPr>
      </w:pPr>
      <w:r w:rsidRPr="00104C65">
        <w:rPr>
          <w:rFonts w:ascii="Arial" w:hAnsi="Arial" w:cs="Arial"/>
          <w:kern w:val="2"/>
          <w14:ligatures w14:val="standardContextual"/>
        </w:rPr>
        <w:t xml:space="preserve">works with </w:t>
      </w:r>
      <w:r w:rsidR="00E14549">
        <w:rPr>
          <w:rFonts w:ascii="Arial" w:hAnsi="Arial" w:cs="Arial"/>
          <w:kern w:val="2"/>
          <w14:ligatures w14:val="standardContextual"/>
        </w:rPr>
        <w:t xml:space="preserve">all </w:t>
      </w:r>
      <w:r w:rsidRPr="00104C65">
        <w:rPr>
          <w:rFonts w:ascii="Arial" w:hAnsi="Arial" w:cs="Arial"/>
          <w:kern w:val="2"/>
          <w14:ligatures w14:val="standardContextual"/>
        </w:rPr>
        <w:t xml:space="preserve">schools and Multi-Academy Trusts across and an expanding range of other partners to offer opportunities in a wide variety of musical </w:t>
      </w:r>
      <w:proofErr w:type="gramStart"/>
      <w:r w:rsidRPr="00104C65">
        <w:rPr>
          <w:rFonts w:ascii="Arial" w:hAnsi="Arial" w:cs="Arial"/>
          <w:kern w:val="2"/>
          <w14:ligatures w14:val="standardContextual"/>
        </w:rPr>
        <w:t>genres</w:t>
      </w:r>
      <w:proofErr w:type="gramEnd"/>
    </w:p>
    <w:p w14:paraId="40C34CEB" w14:textId="28321107" w:rsidR="00D569CA" w:rsidRPr="00104C65" w:rsidRDefault="00D569CA" w:rsidP="001C4C4C">
      <w:pPr>
        <w:numPr>
          <w:ilvl w:val="0"/>
          <w:numId w:val="6"/>
        </w:numPr>
        <w:ind w:left="360"/>
        <w:contextualSpacing/>
        <w:rPr>
          <w:rFonts w:ascii="Arial" w:hAnsi="Arial" w:cs="Arial"/>
          <w:kern w:val="2"/>
          <w14:ligatures w14:val="standardContextual"/>
        </w:rPr>
      </w:pPr>
      <w:r w:rsidRPr="00104C65">
        <w:rPr>
          <w:rFonts w:ascii="Arial" w:hAnsi="Arial" w:cs="Arial"/>
          <w:kern w:val="2"/>
          <w14:ligatures w14:val="standardContextual"/>
        </w:rPr>
        <w:t>aims to provide locally for learners at different levels of attainment in all the genres it works in</w:t>
      </w:r>
    </w:p>
    <w:p w14:paraId="1F6AB395" w14:textId="23C40692" w:rsidR="00D569CA" w:rsidRPr="00104C65" w:rsidRDefault="00D569CA" w:rsidP="001C4C4C">
      <w:pPr>
        <w:numPr>
          <w:ilvl w:val="0"/>
          <w:numId w:val="6"/>
        </w:numPr>
        <w:ind w:left="360"/>
        <w:contextualSpacing/>
        <w:rPr>
          <w:rFonts w:ascii="Arial" w:hAnsi="Arial" w:cs="Arial"/>
          <w:kern w:val="2"/>
          <w14:ligatures w14:val="standardContextual"/>
        </w:rPr>
      </w:pPr>
      <w:r w:rsidRPr="00104C65">
        <w:rPr>
          <w:rFonts w:ascii="Arial" w:hAnsi="Arial" w:cs="Arial"/>
          <w:kern w:val="2"/>
          <w14:ligatures w14:val="standardContextual"/>
        </w:rPr>
        <w:t xml:space="preserve">signposts opportunities for other genres and higher levels of attainment locally, </w:t>
      </w:r>
      <w:proofErr w:type="gramStart"/>
      <w:r w:rsidRPr="00104C65">
        <w:rPr>
          <w:rFonts w:ascii="Arial" w:hAnsi="Arial" w:cs="Arial"/>
          <w:kern w:val="2"/>
          <w14:ligatures w14:val="standardContextual"/>
        </w:rPr>
        <w:t>regionally</w:t>
      </w:r>
      <w:proofErr w:type="gramEnd"/>
      <w:r w:rsidRPr="00104C65">
        <w:rPr>
          <w:rFonts w:ascii="Arial" w:hAnsi="Arial" w:cs="Arial"/>
          <w:kern w:val="2"/>
          <w14:ligatures w14:val="standardContextual"/>
        </w:rPr>
        <w:t xml:space="preserve"> and nationally, such as national youth music organisations and the Music and Dance Scheme, through its website, regular communications and one-to-one advice</w:t>
      </w:r>
    </w:p>
    <w:p w14:paraId="5B78174C" w14:textId="323CDE64" w:rsidR="00D569CA" w:rsidRPr="00104C65" w:rsidRDefault="00D569CA" w:rsidP="001C4C4C">
      <w:pPr>
        <w:numPr>
          <w:ilvl w:val="0"/>
          <w:numId w:val="6"/>
        </w:numPr>
        <w:ind w:left="360"/>
        <w:contextualSpacing/>
        <w:rPr>
          <w:rFonts w:ascii="Arial" w:hAnsi="Arial" w:cs="Arial"/>
          <w:kern w:val="2"/>
          <w14:ligatures w14:val="standardContextual"/>
        </w:rPr>
      </w:pPr>
      <w:r w:rsidRPr="00104C65">
        <w:rPr>
          <w:rFonts w:ascii="Arial" w:hAnsi="Arial" w:cs="Arial"/>
          <w:kern w:val="2"/>
          <w14:ligatures w14:val="standardContextual"/>
        </w:rPr>
        <w:t xml:space="preserve">recognises that learners do not belong to </w:t>
      </w:r>
      <w:r w:rsidR="00652857" w:rsidRPr="00104C65">
        <w:rPr>
          <w:rFonts w:ascii="Arial" w:hAnsi="Arial" w:cs="Arial"/>
          <w:kern w:val="2"/>
          <w14:ligatures w14:val="standardContextual"/>
        </w:rPr>
        <w:t xml:space="preserve">their teachers or to </w:t>
      </w:r>
      <w:r w:rsidRPr="00104C65">
        <w:rPr>
          <w:rFonts w:ascii="Arial" w:hAnsi="Arial" w:cs="Arial"/>
          <w:kern w:val="2"/>
          <w14:ligatures w14:val="standardContextual"/>
        </w:rPr>
        <w:t xml:space="preserve">the Hub, and encourages them to consider learning activities offered by organisations outside the Hub </w:t>
      </w:r>
      <w:proofErr w:type="gramStart"/>
      <w:r w:rsidRPr="00104C65">
        <w:rPr>
          <w:rFonts w:ascii="Arial" w:hAnsi="Arial" w:cs="Arial"/>
          <w:kern w:val="2"/>
          <w14:ligatures w14:val="standardContextual"/>
        </w:rPr>
        <w:t>partnership</w:t>
      </w:r>
      <w:proofErr w:type="gramEnd"/>
    </w:p>
    <w:p w14:paraId="292292FB" w14:textId="642C6384" w:rsidR="00D569CA" w:rsidRPr="00104C65" w:rsidRDefault="00D569CA" w:rsidP="001C4C4C">
      <w:pPr>
        <w:numPr>
          <w:ilvl w:val="0"/>
          <w:numId w:val="6"/>
        </w:numPr>
        <w:ind w:left="360"/>
        <w:contextualSpacing/>
        <w:rPr>
          <w:rFonts w:ascii="Arial" w:hAnsi="Arial" w:cs="Arial"/>
          <w:kern w:val="2"/>
          <w14:ligatures w14:val="standardContextual"/>
        </w:rPr>
      </w:pPr>
      <w:r w:rsidRPr="00104C65">
        <w:rPr>
          <w:rFonts w:ascii="Arial" w:hAnsi="Arial" w:cs="Arial"/>
          <w:kern w:val="2"/>
          <w14:ligatures w14:val="standardContextual"/>
        </w:rPr>
        <w:t>provides chances to learn about and take part in music other than as performers (</w:t>
      </w:r>
      <w:proofErr w:type="gramStart"/>
      <w:r w:rsidRPr="00104C65">
        <w:rPr>
          <w:rFonts w:ascii="Arial" w:hAnsi="Arial" w:cs="Arial"/>
          <w:kern w:val="2"/>
          <w14:ligatures w14:val="standardContextual"/>
        </w:rPr>
        <w:t>e.g.</w:t>
      </w:r>
      <w:proofErr w:type="gramEnd"/>
      <w:r w:rsidRPr="00104C65">
        <w:rPr>
          <w:rFonts w:ascii="Arial" w:hAnsi="Arial" w:cs="Arial"/>
          <w:kern w:val="2"/>
          <w14:ligatures w14:val="standardContextual"/>
        </w:rPr>
        <w:t xml:space="preserve"> </w:t>
      </w:r>
      <w:r w:rsidR="000A3CDA" w:rsidRPr="00104C65">
        <w:rPr>
          <w:rFonts w:ascii="Arial" w:hAnsi="Arial" w:cs="Arial"/>
          <w:kern w:val="2"/>
          <w14:ligatures w14:val="standardContextual"/>
        </w:rPr>
        <w:t xml:space="preserve">programming, </w:t>
      </w:r>
      <w:r w:rsidRPr="00104C65">
        <w:rPr>
          <w:rFonts w:ascii="Arial" w:hAnsi="Arial" w:cs="Arial"/>
          <w:kern w:val="2"/>
          <w14:ligatures w14:val="standardContextual"/>
        </w:rPr>
        <w:t>production and concert management)</w:t>
      </w:r>
    </w:p>
    <w:p w14:paraId="2E6D6EE4" w14:textId="15F299D8" w:rsidR="00D569CA" w:rsidRPr="00104C65" w:rsidRDefault="00D569CA" w:rsidP="001C4C4C">
      <w:pPr>
        <w:numPr>
          <w:ilvl w:val="0"/>
          <w:numId w:val="6"/>
        </w:numPr>
        <w:ind w:left="360"/>
        <w:contextualSpacing/>
        <w:rPr>
          <w:rFonts w:ascii="Arial" w:hAnsi="Arial" w:cs="Arial"/>
          <w:kern w:val="2"/>
          <w14:ligatures w14:val="standardContextual"/>
        </w:rPr>
      </w:pPr>
      <w:r w:rsidRPr="00104C65">
        <w:rPr>
          <w:rFonts w:ascii="Arial" w:hAnsi="Arial" w:cs="Arial"/>
          <w:kern w:val="2"/>
          <w14:ligatures w14:val="standardContextual"/>
        </w:rPr>
        <w:t xml:space="preserve">provides information about further study including FE and HE through partners in those </w:t>
      </w:r>
      <w:proofErr w:type="gramStart"/>
      <w:r w:rsidRPr="00104C65">
        <w:rPr>
          <w:rFonts w:ascii="Arial" w:hAnsi="Arial" w:cs="Arial"/>
          <w:kern w:val="2"/>
          <w14:ligatures w14:val="standardContextual"/>
        </w:rPr>
        <w:t>sectors</w:t>
      </w:r>
      <w:proofErr w:type="gramEnd"/>
    </w:p>
    <w:p w14:paraId="3743F426" w14:textId="1704B39C" w:rsidR="00D569CA" w:rsidRPr="00104C65" w:rsidRDefault="00D569CA" w:rsidP="001C4C4C">
      <w:pPr>
        <w:numPr>
          <w:ilvl w:val="0"/>
          <w:numId w:val="6"/>
        </w:numPr>
        <w:ind w:left="360"/>
        <w:contextualSpacing/>
        <w:rPr>
          <w:rFonts w:ascii="Arial" w:hAnsi="Arial" w:cs="Arial"/>
          <w:kern w:val="2"/>
          <w14:ligatures w14:val="standardContextual"/>
        </w:rPr>
      </w:pPr>
      <w:r w:rsidRPr="00104C65">
        <w:rPr>
          <w:rFonts w:ascii="Arial" w:hAnsi="Arial" w:cs="Arial"/>
          <w:kern w:val="2"/>
          <w14:ligatures w14:val="standardContextual"/>
        </w:rPr>
        <w:t xml:space="preserve">provides information about careers in music and the creative arts through its website, its own and other events and one-to-one </w:t>
      </w:r>
      <w:proofErr w:type="gramStart"/>
      <w:r w:rsidRPr="00104C65">
        <w:rPr>
          <w:rFonts w:ascii="Arial" w:hAnsi="Arial" w:cs="Arial"/>
          <w:kern w:val="2"/>
          <w14:ligatures w14:val="standardContextual"/>
        </w:rPr>
        <w:t>advice</w:t>
      </w:r>
      <w:proofErr w:type="gramEnd"/>
    </w:p>
    <w:p w14:paraId="44FA2F0B" w14:textId="2A6B2DBB" w:rsidR="00D569CA" w:rsidRPr="00104C65" w:rsidRDefault="00D569CA" w:rsidP="001C4C4C">
      <w:pPr>
        <w:numPr>
          <w:ilvl w:val="0"/>
          <w:numId w:val="6"/>
        </w:numPr>
        <w:ind w:left="360"/>
        <w:contextualSpacing/>
        <w:rPr>
          <w:rFonts w:ascii="Arial" w:hAnsi="Arial" w:cs="Arial"/>
          <w:kern w:val="2"/>
          <w14:ligatures w14:val="standardContextual"/>
        </w:rPr>
      </w:pPr>
      <w:r w:rsidRPr="00104C65">
        <w:rPr>
          <w:rFonts w:ascii="Arial" w:hAnsi="Arial" w:cs="Arial"/>
          <w:kern w:val="2"/>
          <w14:ligatures w14:val="standardContextual"/>
        </w:rPr>
        <w:t xml:space="preserve">signposts musical opportunities outside of music education and provides advice to families on how children can participate safely in the community and voluntary arts </w:t>
      </w:r>
      <w:proofErr w:type="gramStart"/>
      <w:r w:rsidRPr="00104C65">
        <w:rPr>
          <w:rFonts w:ascii="Arial" w:hAnsi="Arial" w:cs="Arial"/>
          <w:kern w:val="2"/>
          <w14:ligatures w14:val="standardContextual"/>
        </w:rPr>
        <w:t>sectors</w:t>
      </w:r>
      <w:proofErr w:type="gramEnd"/>
    </w:p>
    <w:p w14:paraId="4CEB9FA6" w14:textId="6CC63267" w:rsidR="00D569CA" w:rsidRPr="00104C65" w:rsidRDefault="00D569CA" w:rsidP="001C4C4C">
      <w:pPr>
        <w:numPr>
          <w:ilvl w:val="0"/>
          <w:numId w:val="6"/>
        </w:numPr>
        <w:ind w:left="360"/>
        <w:contextualSpacing/>
        <w:rPr>
          <w:rFonts w:ascii="Arial" w:hAnsi="Arial" w:cs="Arial"/>
          <w:kern w:val="2"/>
          <w14:ligatures w14:val="standardContextual"/>
        </w:rPr>
      </w:pPr>
      <w:r w:rsidRPr="00104C65">
        <w:rPr>
          <w:rFonts w:ascii="Arial" w:hAnsi="Arial" w:cs="Arial"/>
          <w:kern w:val="2"/>
          <w14:ligatures w14:val="standardContextual"/>
        </w:rPr>
        <w:t xml:space="preserve">connects with providers of other artforms including via the Local Cultural Education Partnership to further expand the range of opportunities </w:t>
      </w:r>
      <w:proofErr w:type="gramStart"/>
      <w:r w:rsidRPr="00104C65">
        <w:rPr>
          <w:rFonts w:ascii="Arial" w:hAnsi="Arial" w:cs="Arial"/>
          <w:kern w:val="2"/>
          <w14:ligatures w14:val="standardContextual"/>
        </w:rPr>
        <w:t>available</w:t>
      </w:r>
      <w:proofErr w:type="gramEnd"/>
    </w:p>
    <w:p w14:paraId="0658774E" w14:textId="1E23A565" w:rsidR="00D569CA" w:rsidRPr="00104C65" w:rsidRDefault="00D569CA" w:rsidP="001C4C4C">
      <w:pPr>
        <w:numPr>
          <w:ilvl w:val="0"/>
          <w:numId w:val="6"/>
        </w:numPr>
        <w:ind w:left="360"/>
        <w:contextualSpacing/>
        <w:rPr>
          <w:rFonts w:ascii="Arial" w:hAnsi="Arial" w:cs="Arial"/>
          <w:kern w:val="2"/>
          <w14:ligatures w14:val="standardContextual"/>
        </w:rPr>
      </w:pPr>
      <w:r w:rsidRPr="00104C65">
        <w:rPr>
          <w:rFonts w:ascii="Arial" w:hAnsi="Arial" w:cs="Arial"/>
          <w:kern w:val="2"/>
          <w14:ligatures w14:val="standardContextual"/>
        </w:rPr>
        <w:t>offers professional development to the Hub workforce and to music teachers in the area to drive up standards of teaching and learning so that learners’ progression is maximised.</w:t>
      </w:r>
    </w:p>
    <w:p w14:paraId="369B68EC" w14:textId="2AF65653" w:rsidR="0032084D" w:rsidRPr="00104C65" w:rsidRDefault="0032084D" w:rsidP="001C4C4C">
      <w:pPr>
        <w:pStyle w:val="Heading1"/>
        <w:rPr>
          <w:rFonts w:ascii="Arial" w:hAnsi="Arial" w:cs="Arial"/>
        </w:rPr>
      </w:pPr>
      <w:r w:rsidRPr="00104C65">
        <w:rPr>
          <w:rFonts w:ascii="Arial" w:hAnsi="Arial" w:cs="Arial"/>
        </w:rPr>
        <w:t xml:space="preserve">Vision for progression in </w:t>
      </w:r>
      <w:r w:rsidR="004A0E8A">
        <w:rPr>
          <w:rFonts w:ascii="Arial" w:hAnsi="Arial" w:cs="Arial"/>
        </w:rPr>
        <w:t>Tri-borough Music Hub</w:t>
      </w:r>
    </w:p>
    <w:p w14:paraId="0314E547" w14:textId="36E31D29" w:rsidR="0032084D" w:rsidRPr="00104C65" w:rsidRDefault="0032084D" w:rsidP="001C4C4C">
      <w:pPr>
        <w:rPr>
          <w:rFonts w:ascii="Arial" w:hAnsi="Arial" w:cs="Arial"/>
        </w:rPr>
      </w:pPr>
      <w:r w:rsidRPr="00104C65">
        <w:rPr>
          <w:rFonts w:ascii="Arial" w:hAnsi="Arial" w:cs="Arial"/>
        </w:rPr>
        <w:t xml:space="preserve">To support learners’ musical progression across </w:t>
      </w:r>
      <w:r w:rsidR="00B5140C">
        <w:rPr>
          <w:rFonts w:ascii="Arial" w:hAnsi="Arial" w:cs="Arial"/>
        </w:rPr>
        <w:t>TBMH</w:t>
      </w:r>
      <w:r w:rsidRPr="00104C65">
        <w:rPr>
          <w:rFonts w:ascii="Arial" w:hAnsi="Arial" w:cs="Arial"/>
        </w:rPr>
        <w:t>, regardless of how they are learning, whose activity they are members of (if any) and what types of music they favour, we will work towards achieving the following outcomes</w:t>
      </w:r>
      <w:r w:rsidR="00C21C6E">
        <w:rPr>
          <w:rFonts w:ascii="Arial" w:hAnsi="Arial" w:cs="Arial"/>
          <w:i/>
          <w:iCs/>
        </w:rPr>
        <w:t>:</w:t>
      </w:r>
    </w:p>
    <w:p w14:paraId="53AC8977" w14:textId="77777777" w:rsidR="0032084D" w:rsidRPr="00104C65" w:rsidRDefault="0032084D" w:rsidP="001C4C4C">
      <w:pPr>
        <w:rPr>
          <w:rFonts w:ascii="Arial" w:hAnsi="Arial" w:cs="Arial"/>
        </w:rPr>
      </w:pPr>
    </w:p>
    <w:tbl>
      <w:tblPr>
        <w:tblStyle w:val="TableGrid"/>
        <w:tblW w:w="0" w:type="auto"/>
        <w:tblLook w:val="04A0" w:firstRow="1" w:lastRow="0" w:firstColumn="1" w:lastColumn="0" w:noHBand="0" w:noVBand="1"/>
      </w:tblPr>
      <w:tblGrid>
        <w:gridCol w:w="1488"/>
        <w:gridCol w:w="7572"/>
      </w:tblGrid>
      <w:tr w:rsidR="0032084D" w:rsidRPr="00104C65" w14:paraId="26A1C45F" w14:textId="77777777" w:rsidTr="00B5140C">
        <w:tc>
          <w:tcPr>
            <w:tcW w:w="1290" w:type="dxa"/>
          </w:tcPr>
          <w:p w14:paraId="1D228EAC" w14:textId="77777777" w:rsidR="0032084D" w:rsidRPr="00104C65" w:rsidRDefault="0032084D" w:rsidP="001C4C4C">
            <w:pPr>
              <w:rPr>
                <w:rFonts w:ascii="Arial" w:hAnsi="Arial" w:cs="Arial"/>
                <w:b/>
                <w:bCs/>
              </w:rPr>
            </w:pPr>
            <w:r w:rsidRPr="00104C65">
              <w:rPr>
                <w:rFonts w:ascii="Arial" w:hAnsi="Arial" w:cs="Arial"/>
                <w:b/>
                <w:bCs/>
              </w:rPr>
              <w:t>Charging</w:t>
            </w:r>
          </w:p>
        </w:tc>
        <w:tc>
          <w:tcPr>
            <w:tcW w:w="7770" w:type="dxa"/>
          </w:tcPr>
          <w:p w14:paraId="51C8314D" w14:textId="626DFADD" w:rsidR="0032084D" w:rsidRPr="00104C65" w:rsidRDefault="0032084D" w:rsidP="001C4C4C">
            <w:pPr>
              <w:pStyle w:val="ListParagraph"/>
              <w:numPr>
                <w:ilvl w:val="0"/>
                <w:numId w:val="14"/>
              </w:numPr>
              <w:ind w:left="440"/>
              <w:rPr>
                <w:rFonts w:ascii="Arial" w:hAnsi="Arial" w:cs="Arial"/>
              </w:rPr>
            </w:pPr>
            <w:r w:rsidRPr="00104C65">
              <w:rPr>
                <w:rFonts w:ascii="Arial" w:hAnsi="Arial" w:cs="Arial"/>
              </w:rPr>
              <w:t xml:space="preserve">Consistent charging within local areas, including eliminating differential charging between primary and secondary </w:t>
            </w:r>
            <w:r w:rsidR="00BD65B5">
              <w:rPr>
                <w:rFonts w:ascii="Arial" w:hAnsi="Arial" w:cs="Arial"/>
              </w:rPr>
              <w:t xml:space="preserve">schools </w:t>
            </w:r>
            <w:r w:rsidRPr="00104C65">
              <w:rPr>
                <w:rFonts w:ascii="Arial" w:hAnsi="Arial" w:cs="Arial"/>
              </w:rPr>
              <w:t>and seeking to equalise ensemble membership fees.</w:t>
            </w:r>
          </w:p>
          <w:p w14:paraId="0818487E" w14:textId="77777777" w:rsidR="0032084D" w:rsidRPr="00104C65" w:rsidRDefault="0032084D" w:rsidP="001C4C4C">
            <w:pPr>
              <w:rPr>
                <w:rFonts w:ascii="Arial" w:hAnsi="Arial" w:cs="Arial"/>
              </w:rPr>
            </w:pPr>
          </w:p>
        </w:tc>
      </w:tr>
      <w:tr w:rsidR="0032084D" w:rsidRPr="00104C65" w14:paraId="6E02208F" w14:textId="77777777" w:rsidTr="00B5140C">
        <w:tc>
          <w:tcPr>
            <w:tcW w:w="1290" w:type="dxa"/>
          </w:tcPr>
          <w:p w14:paraId="26F725A3" w14:textId="77777777" w:rsidR="0032084D" w:rsidRPr="00104C65" w:rsidRDefault="0032084D" w:rsidP="001C4C4C">
            <w:pPr>
              <w:rPr>
                <w:rFonts w:ascii="Arial" w:hAnsi="Arial" w:cs="Arial"/>
                <w:b/>
                <w:bCs/>
              </w:rPr>
            </w:pPr>
            <w:r w:rsidRPr="00104C65">
              <w:rPr>
                <w:rFonts w:ascii="Arial" w:hAnsi="Arial" w:cs="Arial"/>
                <w:b/>
                <w:bCs/>
              </w:rPr>
              <w:t>Support for learners</w:t>
            </w:r>
          </w:p>
        </w:tc>
        <w:tc>
          <w:tcPr>
            <w:tcW w:w="7770" w:type="dxa"/>
          </w:tcPr>
          <w:p w14:paraId="726BAFBC" w14:textId="2A6F090B" w:rsidR="0032084D" w:rsidRPr="00104C65" w:rsidRDefault="0032084D" w:rsidP="001C4C4C">
            <w:pPr>
              <w:pStyle w:val="ListParagraph"/>
              <w:numPr>
                <w:ilvl w:val="0"/>
                <w:numId w:val="14"/>
              </w:numPr>
              <w:ind w:left="440"/>
              <w:rPr>
                <w:rFonts w:ascii="Arial" w:hAnsi="Arial" w:cs="Arial"/>
              </w:rPr>
            </w:pPr>
            <w:r w:rsidRPr="00104C65">
              <w:rPr>
                <w:rFonts w:ascii="Arial" w:hAnsi="Arial" w:cs="Arial"/>
              </w:rPr>
              <w:t xml:space="preserve">Provision of serviceable instruments and equipment, matched to learners’ needs (size, level of attainment, physical needs) and at reasonable cost; free of charge to Looked After Children.  </w:t>
            </w:r>
          </w:p>
          <w:p w14:paraId="2841B11D" w14:textId="77777777" w:rsidR="0032084D" w:rsidRPr="00104C65" w:rsidRDefault="0032084D" w:rsidP="001C4C4C">
            <w:pPr>
              <w:pStyle w:val="ListParagraph"/>
              <w:ind w:left="440"/>
              <w:rPr>
                <w:rFonts w:ascii="Arial" w:hAnsi="Arial" w:cs="Arial"/>
              </w:rPr>
            </w:pPr>
          </w:p>
          <w:p w14:paraId="7B347C13" w14:textId="77777777" w:rsidR="0032084D" w:rsidRPr="00104C65" w:rsidRDefault="0032084D" w:rsidP="001C4C4C">
            <w:pPr>
              <w:pStyle w:val="ListParagraph"/>
              <w:numPr>
                <w:ilvl w:val="0"/>
                <w:numId w:val="14"/>
              </w:numPr>
              <w:ind w:left="440"/>
              <w:rPr>
                <w:rFonts w:ascii="Arial" w:hAnsi="Arial" w:cs="Arial"/>
              </w:rPr>
            </w:pPr>
            <w:r w:rsidRPr="00104C65">
              <w:rPr>
                <w:rFonts w:ascii="Arial" w:hAnsi="Arial" w:cs="Arial"/>
              </w:rPr>
              <w:t xml:space="preserve">Liaison with schools to provide practice facilities, particularly where the home environment makes practice difficult.  This will include access to equipment such as pianos, drum kits, amps, double </w:t>
            </w:r>
            <w:proofErr w:type="gramStart"/>
            <w:r w:rsidRPr="00104C65">
              <w:rPr>
                <w:rFonts w:ascii="Arial" w:hAnsi="Arial" w:cs="Arial"/>
              </w:rPr>
              <w:t>basses</w:t>
            </w:r>
            <w:proofErr w:type="gramEnd"/>
            <w:r w:rsidRPr="00104C65">
              <w:rPr>
                <w:rFonts w:ascii="Arial" w:hAnsi="Arial" w:cs="Arial"/>
              </w:rPr>
              <w:t xml:space="preserve"> or music tech as required.</w:t>
            </w:r>
          </w:p>
          <w:p w14:paraId="2788DD3D" w14:textId="77777777" w:rsidR="0032084D" w:rsidRPr="00104C65" w:rsidRDefault="0032084D" w:rsidP="001C4C4C">
            <w:pPr>
              <w:ind w:left="440"/>
              <w:rPr>
                <w:rFonts w:ascii="Arial" w:hAnsi="Arial" w:cs="Arial"/>
              </w:rPr>
            </w:pPr>
          </w:p>
          <w:p w14:paraId="489C3C36" w14:textId="77777777" w:rsidR="0032084D" w:rsidRPr="00104C65" w:rsidRDefault="0032084D" w:rsidP="001C4C4C">
            <w:pPr>
              <w:pStyle w:val="ListParagraph"/>
              <w:numPr>
                <w:ilvl w:val="0"/>
                <w:numId w:val="14"/>
              </w:numPr>
              <w:ind w:left="440"/>
              <w:rPr>
                <w:rFonts w:ascii="Arial" w:hAnsi="Arial" w:cs="Arial"/>
              </w:rPr>
            </w:pPr>
            <w:r w:rsidRPr="00104C65">
              <w:rPr>
                <w:rFonts w:ascii="Arial" w:hAnsi="Arial" w:cs="Arial"/>
              </w:rPr>
              <w:t>Managed transition processes for children completing Whole Class Ensemble Tuition programmes and for Y6/7 transfer which ensures learners and families are confident about their options and how continuation will work in practice.</w:t>
            </w:r>
          </w:p>
          <w:p w14:paraId="2CBEAF4C" w14:textId="77777777" w:rsidR="0032084D" w:rsidRPr="00104C65" w:rsidRDefault="0032084D" w:rsidP="001C4C4C">
            <w:pPr>
              <w:ind w:left="440"/>
              <w:rPr>
                <w:rFonts w:ascii="Arial" w:hAnsi="Arial" w:cs="Arial"/>
              </w:rPr>
            </w:pPr>
          </w:p>
          <w:p w14:paraId="2A57BB9F" w14:textId="77777777" w:rsidR="0032084D" w:rsidRPr="00104C65" w:rsidRDefault="0032084D" w:rsidP="001C4C4C">
            <w:pPr>
              <w:pStyle w:val="ListParagraph"/>
              <w:numPr>
                <w:ilvl w:val="0"/>
                <w:numId w:val="14"/>
              </w:numPr>
              <w:ind w:left="440"/>
              <w:rPr>
                <w:rFonts w:ascii="Arial" w:hAnsi="Arial" w:cs="Arial"/>
              </w:rPr>
            </w:pPr>
            <w:r w:rsidRPr="00104C65">
              <w:rPr>
                <w:rFonts w:ascii="Arial" w:hAnsi="Arial" w:cs="Arial"/>
              </w:rPr>
              <w:t xml:space="preserve">Moderated social media groups for learners and tutors, along with sub-groups for members of </w:t>
            </w:r>
            <w:proofErr w:type="gramStart"/>
            <w:r w:rsidRPr="00104C65">
              <w:rPr>
                <w:rFonts w:ascii="Arial" w:hAnsi="Arial" w:cs="Arial"/>
              </w:rPr>
              <w:t>particular ensembles</w:t>
            </w:r>
            <w:proofErr w:type="gramEnd"/>
            <w:r w:rsidRPr="00104C65">
              <w:rPr>
                <w:rFonts w:ascii="Arial" w:hAnsi="Arial" w:cs="Arial"/>
              </w:rPr>
              <w:t xml:space="preserve"> and players of rare instruments.</w:t>
            </w:r>
          </w:p>
          <w:p w14:paraId="02C58168" w14:textId="77777777" w:rsidR="0032084D" w:rsidRPr="00104C65" w:rsidRDefault="0032084D" w:rsidP="001C4C4C">
            <w:pPr>
              <w:ind w:left="440"/>
              <w:rPr>
                <w:rFonts w:ascii="Arial" w:hAnsi="Arial" w:cs="Arial"/>
              </w:rPr>
            </w:pPr>
          </w:p>
        </w:tc>
      </w:tr>
      <w:tr w:rsidR="0032084D" w:rsidRPr="00104C65" w14:paraId="10C2769B" w14:textId="77777777" w:rsidTr="00B5140C">
        <w:tc>
          <w:tcPr>
            <w:tcW w:w="1290" w:type="dxa"/>
          </w:tcPr>
          <w:p w14:paraId="62A80D7A" w14:textId="77777777" w:rsidR="0032084D" w:rsidRPr="00104C65" w:rsidRDefault="0032084D" w:rsidP="001C4C4C">
            <w:pPr>
              <w:rPr>
                <w:rFonts w:ascii="Arial" w:hAnsi="Arial" w:cs="Arial"/>
                <w:b/>
                <w:bCs/>
              </w:rPr>
            </w:pPr>
            <w:r w:rsidRPr="00104C65">
              <w:rPr>
                <w:rFonts w:ascii="Arial" w:hAnsi="Arial" w:cs="Arial"/>
                <w:b/>
                <w:bCs/>
              </w:rPr>
              <w:t>Resources</w:t>
            </w:r>
          </w:p>
        </w:tc>
        <w:tc>
          <w:tcPr>
            <w:tcW w:w="7770" w:type="dxa"/>
          </w:tcPr>
          <w:p w14:paraId="6419F814" w14:textId="77777777" w:rsidR="0032084D" w:rsidRPr="00104C65" w:rsidRDefault="0032084D" w:rsidP="001C4C4C">
            <w:pPr>
              <w:pStyle w:val="ListParagraph"/>
              <w:numPr>
                <w:ilvl w:val="0"/>
                <w:numId w:val="14"/>
              </w:numPr>
              <w:ind w:left="440"/>
              <w:rPr>
                <w:rFonts w:ascii="Arial" w:hAnsi="Arial" w:cs="Arial"/>
              </w:rPr>
            </w:pPr>
            <w:r w:rsidRPr="00104C65">
              <w:rPr>
                <w:rFonts w:ascii="Arial" w:hAnsi="Arial" w:cs="Arial"/>
              </w:rPr>
              <w:t>Training for the workforce in diversifying resource choices sensitively and appropriately, to appeal to and motivate a wider range of students.</w:t>
            </w:r>
          </w:p>
          <w:p w14:paraId="534F13A5" w14:textId="77777777" w:rsidR="0032084D" w:rsidRPr="00104C65" w:rsidRDefault="0032084D" w:rsidP="001C4C4C">
            <w:pPr>
              <w:pStyle w:val="ListParagraph"/>
              <w:ind w:left="440"/>
              <w:rPr>
                <w:rFonts w:ascii="Arial" w:hAnsi="Arial" w:cs="Arial"/>
              </w:rPr>
            </w:pPr>
          </w:p>
          <w:p w14:paraId="1BB18EDD" w14:textId="77777777" w:rsidR="0032084D" w:rsidRPr="00104C65" w:rsidRDefault="0032084D" w:rsidP="001C4C4C">
            <w:pPr>
              <w:pStyle w:val="ListParagraph"/>
              <w:numPr>
                <w:ilvl w:val="0"/>
                <w:numId w:val="14"/>
              </w:numPr>
              <w:ind w:left="440"/>
              <w:rPr>
                <w:rFonts w:ascii="Arial" w:hAnsi="Arial" w:cs="Arial"/>
              </w:rPr>
            </w:pPr>
            <w:r w:rsidRPr="00104C65">
              <w:rPr>
                <w:rFonts w:ascii="Arial" w:hAnsi="Arial" w:cs="Arial"/>
              </w:rPr>
              <w:lastRenderedPageBreak/>
              <w:t xml:space="preserve">Training in adapting resources, </w:t>
            </w:r>
            <w:proofErr w:type="gramStart"/>
            <w:r w:rsidRPr="00104C65">
              <w:rPr>
                <w:rFonts w:ascii="Arial" w:hAnsi="Arial" w:cs="Arial"/>
              </w:rPr>
              <w:t>e.g.</w:t>
            </w:r>
            <w:proofErr w:type="gramEnd"/>
            <w:r w:rsidRPr="00104C65">
              <w:rPr>
                <w:rFonts w:ascii="Arial" w:hAnsi="Arial" w:cs="Arial"/>
              </w:rPr>
              <w:t xml:space="preserve"> that students suggest, to support learning objectives (see Workforce Plan).</w:t>
            </w:r>
          </w:p>
          <w:p w14:paraId="05C279AC" w14:textId="77777777" w:rsidR="0032084D" w:rsidRPr="00104C65" w:rsidRDefault="0032084D" w:rsidP="001C4C4C">
            <w:pPr>
              <w:ind w:left="440"/>
              <w:rPr>
                <w:rFonts w:ascii="Arial" w:hAnsi="Arial" w:cs="Arial"/>
              </w:rPr>
            </w:pPr>
          </w:p>
        </w:tc>
      </w:tr>
      <w:tr w:rsidR="0032084D" w:rsidRPr="00104C65" w14:paraId="010A4E07" w14:textId="77777777" w:rsidTr="00B5140C">
        <w:tc>
          <w:tcPr>
            <w:tcW w:w="1290" w:type="dxa"/>
          </w:tcPr>
          <w:p w14:paraId="0F4CD7DA" w14:textId="77777777" w:rsidR="0032084D" w:rsidRPr="00104C65" w:rsidRDefault="0032084D" w:rsidP="001C4C4C">
            <w:pPr>
              <w:rPr>
                <w:rFonts w:ascii="Arial" w:hAnsi="Arial" w:cs="Arial"/>
                <w:b/>
                <w:bCs/>
              </w:rPr>
            </w:pPr>
            <w:r w:rsidRPr="00104C65">
              <w:rPr>
                <w:rFonts w:ascii="Arial" w:hAnsi="Arial" w:cs="Arial"/>
                <w:b/>
                <w:bCs/>
              </w:rPr>
              <w:lastRenderedPageBreak/>
              <w:t>Teaching &amp; Learning</w:t>
            </w:r>
          </w:p>
        </w:tc>
        <w:tc>
          <w:tcPr>
            <w:tcW w:w="7770" w:type="dxa"/>
          </w:tcPr>
          <w:p w14:paraId="12017ADF" w14:textId="77777777" w:rsidR="0032084D" w:rsidRPr="00104C65" w:rsidRDefault="0032084D" w:rsidP="001C4C4C">
            <w:pPr>
              <w:pStyle w:val="ListParagraph"/>
              <w:numPr>
                <w:ilvl w:val="0"/>
                <w:numId w:val="14"/>
              </w:numPr>
              <w:ind w:left="440"/>
              <w:rPr>
                <w:rFonts w:ascii="Arial" w:hAnsi="Arial" w:cs="Arial"/>
              </w:rPr>
            </w:pPr>
            <w:r w:rsidRPr="00104C65">
              <w:rPr>
                <w:rFonts w:ascii="Arial" w:hAnsi="Arial" w:cs="Arial"/>
              </w:rPr>
              <w:t>CPD to raise tutor and teacher expectations of progression.</w:t>
            </w:r>
          </w:p>
          <w:p w14:paraId="5DD38B16" w14:textId="77777777" w:rsidR="0032084D" w:rsidRPr="00104C65" w:rsidRDefault="0032084D" w:rsidP="001C4C4C">
            <w:pPr>
              <w:ind w:left="440"/>
              <w:rPr>
                <w:rFonts w:ascii="Arial" w:hAnsi="Arial" w:cs="Arial"/>
              </w:rPr>
            </w:pPr>
          </w:p>
          <w:p w14:paraId="178BAF2D" w14:textId="77777777" w:rsidR="0032084D" w:rsidRPr="00104C65" w:rsidRDefault="0032084D" w:rsidP="001C4C4C">
            <w:pPr>
              <w:pStyle w:val="ListParagraph"/>
              <w:numPr>
                <w:ilvl w:val="0"/>
                <w:numId w:val="14"/>
              </w:numPr>
              <w:ind w:left="440"/>
              <w:rPr>
                <w:rFonts w:ascii="Arial" w:hAnsi="Arial" w:cs="Arial"/>
              </w:rPr>
            </w:pPr>
            <w:r w:rsidRPr="00104C65">
              <w:rPr>
                <w:rFonts w:ascii="Arial" w:hAnsi="Arial" w:cs="Arial"/>
              </w:rPr>
              <w:t>CPD and mentoring to foster more student involvement in planning their tuition and progression (co-directed learning).</w:t>
            </w:r>
          </w:p>
          <w:p w14:paraId="64CBFF34" w14:textId="77777777" w:rsidR="0032084D" w:rsidRPr="00104C65" w:rsidRDefault="0032084D" w:rsidP="001C4C4C">
            <w:pPr>
              <w:rPr>
                <w:rFonts w:ascii="Arial" w:hAnsi="Arial" w:cs="Arial"/>
              </w:rPr>
            </w:pPr>
          </w:p>
        </w:tc>
      </w:tr>
      <w:tr w:rsidR="0032084D" w:rsidRPr="00104C65" w14:paraId="27F4D486" w14:textId="77777777" w:rsidTr="00B5140C">
        <w:tc>
          <w:tcPr>
            <w:tcW w:w="1290" w:type="dxa"/>
          </w:tcPr>
          <w:p w14:paraId="036017BF" w14:textId="77777777" w:rsidR="0032084D" w:rsidRPr="00104C65" w:rsidRDefault="0032084D" w:rsidP="001C4C4C">
            <w:pPr>
              <w:rPr>
                <w:rFonts w:ascii="Arial" w:hAnsi="Arial" w:cs="Arial"/>
                <w:b/>
                <w:bCs/>
              </w:rPr>
            </w:pPr>
            <w:r w:rsidRPr="00104C65">
              <w:rPr>
                <w:rFonts w:ascii="Arial" w:hAnsi="Arial" w:cs="Arial"/>
                <w:b/>
                <w:bCs/>
              </w:rPr>
              <w:t>Music making</w:t>
            </w:r>
          </w:p>
        </w:tc>
        <w:tc>
          <w:tcPr>
            <w:tcW w:w="7770" w:type="dxa"/>
          </w:tcPr>
          <w:p w14:paraId="187BAC85" w14:textId="180AECFF" w:rsidR="0032084D" w:rsidRPr="00104C65" w:rsidRDefault="0032084D" w:rsidP="001C4C4C">
            <w:pPr>
              <w:pStyle w:val="ListParagraph"/>
              <w:numPr>
                <w:ilvl w:val="0"/>
                <w:numId w:val="14"/>
              </w:numPr>
              <w:ind w:left="440"/>
              <w:rPr>
                <w:rFonts w:ascii="Arial" w:hAnsi="Arial" w:cs="Arial"/>
              </w:rPr>
            </w:pPr>
            <w:r w:rsidRPr="00104C65">
              <w:rPr>
                <w:rFonts w:ascii="Arial" w:hAnsi="Arial" w:cs="Arial"/>
              </w:rPr>
              <w:t xml:space="preserve">Provision to high levels in all genres offered through the Hub, either in differentiated groups (beginner, intermediate and advanced) or in larger, mixed ability groups.  </w:t>
            </w:r>
          </w:p>
          <w:p w14:paraId="5B9616C8" w14:textId="77777777" w:rsidR="0032084D" w:rsidRPr="00104C65" w:rsidRDefault="0032084D" w:rsidP="001C4C4C">
            <w:pPr>
              <w:pStyle w:val="ListParagraph"/>
              <w:ind w:left="440"/>
              <w:rPr>
                <w:rFonts w:ascii="Arial" w:hAnsi="Arial" w:cs="Arial"/>
              </w:rPr>
            </w:pPr>
          </w:p>
        </w:tc>
      </w:tr>
      <w:tr w:rsidR="0032084D" w:rsidRPr="00104C65" w14:paraId="4C593729" w14:textId="77777777" w:rsidTr="00B5140C">
        <w:tc>
          <w:tcPr>
            <w:tcW w:w="1290" w:type="dxa"/>
          </w:tcPr>
          <w:p w14:paraId="7689EADF" w14:textId="77777777" w:rsidR="0032084D" w:rsidRPr="00104C65" w:rsidRDefault="0032084D" w:rsidP="001C4C4C">
            <w:pPr>
              <w:rPr>
                <w:rFonts w:ascii="Arial" w:hAnsi="Arial" w:cs="Arial"/>
                <w:b/>
                <w:bCs/>
              </w:rPr>
            </w:pPr>
            <w:r w:rsidRPr="00104C65">
              <w:rPr>
                <w:rFonts w:ascii="Arial" w:hAnsi="Arial" w:cs="Arial"/>
                <w:b/>
                <w:bCs/>
              </w:rPr>
              <w:t>Students</w:t>
            </w:r>
          </w:p>
        </w:tc>
        <w:tc>
          <w:tcPr>
            <w:tcW w:w="7770" w:type="dxa"/>
          </w:tcPr>
          <w:p w14:paraId="2404772E" w14:textId="506FC4B5" w:rsidR="0032084D" w:rsidRPr="00104C65" w:rsidRDefault="0032084D" w:rsidP="001C4C4C">
            <w:pPr>
              <w:pStyle w:val="ListParagraph"/>
              <w:numPr>
                <w:ilvl w:val="0"/>
                <w:numId w:val="14"/>
              </w:numPr>
              <w:ind w:left="440"/>
              <w:rPr>
                <w:rFonts w:ascii="Arial" w:hAnsi="Arial" w:cs="Arial"/>
              </w:rPr>
            </w:pPr>
            <w:r w:rsidRPr="00104C65">
              <w:rPr>
                <w:rFonts w:ascii="Arial" w:hAnsi="Arial" w:cs="Arial"/>
              </w:rPr>
              <w:t xml:space="preserve">A mentor or buddy system to provide peer advice and inspiration for younger learners and help them to build personal resilience.  It will </w:t>
            </w:r>
            <w:r w:rsidR="0035642E" w:rsidRPr="00104C65">
              <w:rPr>
                <w:rFonts w:ascii="Arial" w:hAnsi="Arial" w:cs="Arial"/>
              </w:rPr>
              <w:t>provide leadership</w:t>
            </w:r>
            <w:r w:rsidRPr="00104C65">
              <w:rPr>
                <w:rFonts w:ascii="Arial" w:hAnsi="Arial" w:cs="Arial"/>
              </w:rPr>
              <w:t xml:space="preserve"> experience for the older and in time, may be linked with Arts Award or accreditation outside music or the arts.</w:t>
            </w:r>
          </w:p>
          <w:p w14:paraId="5A5CF773" w14:textId="77777777" w:rsidR="0032084D" w:rsidRPr="00104C65" w:rsidRDefault="0032084D" w:rsidP="001C4C4C">
            <w:pPr>
              <w:ind w:left="440"/>
              <w:rPr>
                <w:rFonts w:ascii="Arial" w:hAnsi="Arial" w:cs="Arial"/>
              </w:rPr>
            </w:pPr>
          </w:p>
          <w:p w14:paraId="2BD27DAE" w14:textId="77777777" w:rsidR="0032084D" w:rsidRPr="00104C65" w:rsidRDefault="0032084D" w:rsidP="001C4C4C">
            <w:pPr>
              <w:pStyle w:val="ListParagraph"/>
              <w:numPr>
                <w:ilvl w:val="0"/>
                <w:numId w:val="14"/>
              </w:numPr>
              <w:ind w:left="440"/>
              <w:rPr>
                <w:rFonts w:ascii="Arial" w:hAnsi="Arial" w:cs="Arial"/>
              </w:rPr>
            </w:pPr>
            <w:r w:rsidRPr="00104C65">
              <w:rPr>
                <w:rFonts w:ascii="Arial" w:hAnsi="Arial" w:cs="Arial"/>
              </w:rPr>
              <w:t>Medium-term partnerships with music tech companies for provision of software tools to support students exploring their creativity.</w:t>
            </w:r>
          </w:p>
          <w:p w14:paraId="452C377B" w14:textId="77777777" w:rsidR="0032084D" w:rsidRPr="00104C65" w:rsidRDefault="0032084D" w:rsidP="001C4C4C">
            <w:pPr>
              <w:ind w:left="440"/>
              <w:rPr>
                <w:rFonts w:ascii="Arial" w:hAnsi="Arial" w:cs="Arial"/>
              </w:rPr>
            </w:pPr>
          </w:p>
        </w:tc>
      </w:tr>
      <w:tr w:rsidR="0032084D" w:rsidRPr="00104C65" w14:paraId="5D748936" w14:textId="77777777" w:rsidTr="00B5140C">
        <w:tc>
          <w:tcPr>
            <w:tcW w:w="1290" w:type="dxa"/>
          </w:tcPr>
          <w:p w14:paraId="15A5F2B1" w14:textId="77777777" w:rsidR="0032084D" w:rsidRPr="00104C65" w:rsidRDefault="0032084D" w:rsidP="001C4C4C">
            <w:pPr>
              <w:rPr>
                <w:rFonts w:ascii="Arial" w:hAnsi="Arial" w:cs="Arial"/>
                <w:b/>
                <w:bCs/>
              </w:rPr>
            </w:pPr>
            <w:r w:rsidRPr="00104C65">
              <w:rPr>
                <w:rFonts w:ascii="Arial" w:hAnsi="Arial" w:cs="Arial"/>
                <w:b/>
                <w:bCs/>
              </w:rPr>
              <w:t>Signposting</w:t>
            </w:r>
          </w:p>
        </w:tc>
        <w:tc>
          <w:tcPr>
            <w:tcW w:w="7770" w:type="dxa"/>
          </w:tcPr>
          <w:p w14:paraId="1A5C3F21" w14:textId="77777777" w:rsidR="0032084D" w:rsidRPr="00104C65" w:rsidRDefault="0032084D" w:rsidP="001C4C4C">
            <w:pPr>
              <w:pStyle w:val="ListParagraph"/>
              <w:numPr>
                <w:ilvl w:val="0"/>
                <w:numId w:val="14"/>
              </w:numPr>
              <w:ind w:left="440"/>
              <w:rPr>
                <w:rFonts w:ascii="Arial" w:hAnsi="Arial" w:cs="Arial"/>
              </w:rPr>
            </w:pPr>
            <w:r w:rsidRPr="00104C65">
              <w:rPr>
                <w:rFonts w:ascii="Arial" w:hAnsi="Arial" w:cs="Arial"/>
              </w:rPr>
              <w:t xml:space="preserve">Open sharing of opportunities locally, </w:t>
            </w:r>
            <w:proofErr w:type="gramStart"/>
            <w:r w:rsidRPr="00104C65">
              <w:rPr>
                <w:rFonts w:ascii="Arial" w:hAnsi="Arial" w:cs="Arial"/>
              </w:rPr>
              <w:t>regionally</w:t>
            </w:r>
            <w:proofErr w:type="gramEnd"/>
            <w:r w:rsidRPr="00104C65">
              <w:rPr>
                <w:rFonts w:ascii="Arial" w:hAnsi="Arial" w:cs="Arial"/>
              </w:rPr>
              <w:t xml:space="preserve"> and nationally, including community provision, partners’ offers, National Youth Music Organisations, independent school bursaries and the Music and Dance Scheme.</w:t>
            </w:r>
          </w:p>
          <w:p w14:paraId="5FEE8BC2" w14:textId="77777777" w:rsidR="0032084D" w:rsidRPr="00104C65" w:rsidRDefault="0032084D" w:rsidP="001C4C4C">
            <w:pPr>
              <w:rPr>
                <w:rFonts w:ascii="Arial" w:hAnsi="Arial" w:cs="Arial"/>
              </w:rPr>
            </w:pPr>
          </w:p>
        </w:tc>
      </w:tr>
      <w:tr w:rsidR="0032084D" w:rsidRPr="00104C65" w14:paraId="3A6312AA" w14:textId="77777777" w:rsidTr="00B5140C">
        <w:tc>
          <w:tcPr>
            <w:tcW w:w="1290" w:type="dxa"/>
          </w:tcPr>
          <w:p w14:paraId="5AC0C07F" w14:textId="77777777" w:rsidR="0032084D" w:rsidRPr="00104C65" w:rsidRDefault="0032084D" w:rsidP="001C4C4C">
            <w:pPr>
              <w:rPr>
                <w:rFonts w:ascii="Arial" w:hAnsi="Arial" w:cs="Arial"/>
                <w:b/>
                <w:bCs/>
              </w:rPr>
            </w:pPr>
            <w:r w:rsidRPr="00104C65">
              <w:rPr>
                <w:rFonts w:ascii="Arial" w:hAnsi="Arial" w:cs="Arial"/>
                <w:b/>
                <w:bCs/>
              </w:rPr>
              <w:t>Furthering progression</w:t>
            </w:r>
          </w:p>
        </w:tc>
        <w:tc>
          <w:tcPr>
            <w:tcW w:w="7770" w:type="dxa"/>
          </w:tcPr>
          <w:p w14:paraId="2FA5A6D9" w14:textId="77777777" w:rsidR="0032084D" w:rsidRPr="00104C65" w:rsidRDefault="0032084D" w:rsidP="001C4C4C">
            <w:pPr>
              <w:pStyle w:val="ListParagraph"/>
              <w:numPr>
                <w:ilvl w:val="0"/>
                <w:numId w:val="14"/>
              </w:numPr>
              <w:ind w:left="440"/>
              <w:rPr>
                <w:rFonts w:ascii="Arial" w:hAnsi="Arial" w:cs="Arial"/>
              </w:rPr>
            </w:pPr>
            <w:r w:rsidRPr="00104C65">
              <w:rPr>
                <w:rFonts w:ascii="Arial" w:hAnsi="Arial" w:cs="Arial"/>
              </w:rPr>
              <w:t>Forward-looking information about careers in music and the music industry.</w:t>
            </w:r>
          </w:p>
          <w:p w14:paraId="00FE9D17" w14:textId="77777777" w:rsidR="0032084D" w:rsidRPr="00104C65" w:rsidRDefault="0032084D" w:rsidP="001C4C4C">
            <w:pPr>
              <w:ind w:left="440"/>
              <w:rPr>
                <w:rFonts w:ascii="Arial" w:hAnsi="Arial" w:cs="Arial"/>
              </w:rPr>
            </w:pPr>
          </w:p>
          <w:p w14:paraId="42DD2F0E" w14:textId="77777777" w:rsidR="0032084D" w:rsidRPr="00104C65" w:rsidRDefault="0032084D" w:rsidP="001C4C4C">
            <w:pPr>
              <w:pStyle w:val="ListParagraph"/>
              <w:numPr>
                <w:ilvl w:val="0"/>
                <w:numId w:val="14"/>
              </w:numPr>
              <w:ind w:left="440"/>
              <w:rPr>
                <w:rFonts w:ascii="Arial" w:hAnsi="Arial" w:cs="Arial"/>
              </w:rPr>
            </w:pPr>
            <w:r w:rsidRPr="00104C65">
              <w:rPr>
                <w:rFonts w:ascii="Arial" w:hAnsi="Arial" w:cs="Arial"/>
              </w:rPr>
              <w:t>Information and advice about studying music after A level (further and higher education options).  Audition support for students preparing for conservatoire applications.</w:t>
            </w:r>
          </w:p>
        </w:tc>
      </w:tr>
    </w:tbl>
    <w:p w14:paraId="54A93177" w14:textId="77777777" w:rsidR="00BC2529" w:rsidRPr="00104C65" w:rsidRDefault="00BC2529" w:rsidP="001C4C4C">
      <w:pPr>
        <w:pStyle w:val="Heading1"/>
        <w:rPr>
          <w:rFonts w:ascii="Arial" w:hAnsi="Arial" w:cs="Arial"/>
        </w:rPr>
      </w:pPr>
      <w:r w:rsidRPr="00104C65">
        <w:rPr>
          <w:rFonts w:ascii="Arial" w:hAnsi="Arial" w:cs="Arial"/>
        </w:rPr>
        <w:t>Tracking progression</w:t>
      </w:r>
    </w:p>
    <w:p w14:paraId="4E836C33" w14:textId="1F069B3F" w:rsidR="00BC2529" w:rsidRPr="00104C65" w:rsidRDefault="00BC2529" w:rsidP="001C4C4C">
      <w:pPr>
        <w:rPr>
          <w:rFonts w:ascii="Arial" w:hAnsi="Arial" w:cs="Arial"/>
        </w:rPr>
      </w:pPr>
      <w:r w:rsidRPr="00104C65">
        <w:rPr>
          <w:rFonts w:ascii="Arial" w:hAnsi="Arial" w:cs="Arial"/>
        </w:rPr>
        <w:t xml:space="preserve">Children and young people taught within the Hub are monitored by their instrumental/vocal tutor. Progression data is </w:t>
      </w:r>
      <w:r w:rsidR="00576FAE">
        <w:rPr>
          <w:rFonts w:ascii="Arial" w:hAnsi="Arial" w:cs="Arial"/>
        </w:rPr>
        <w:t xml:space="preserve">reported via </w:t>
      </w:r>
      <w:r w:rsidRPr="00104C65">
        <w:rPr>
          <w:rFonts w:ascii="Arial" w:hAnsi="Arial" w:cs="Arial"/>
        </w:rPr>
        <w:t>the Hub’s CRM system</w:t>
      </w:r>
      <w:r w:rsidR="00576FAE">
        <w:rPr>
          <w:rFonts w:ascii="Arial" w:hAnsi="Arial" w:cs="Arial"/>
        </w:rPr>
        <w:t xml:space="preserve"> (Speed Admin)</w:t>
      </w:r>
      <w:r w:rsidRPr="00104C65">
        <w:rPr>
          <w:rFonts w:ascii="Arial" w:hAnsi="Arial" w:cs="Arial"/>
        </w:rPr>
        <w:t xml:space="preserve"> in real time/reported to the Hub at the end of each school year.</w:t>
      </w:r>
    </w:p>
    <w:p w14:paraId="3C8875AF" w14:textId="77777777" w:rsidR="00BC2529" w:rsidRPr="00104C65" w:rsidRDefault="00BC2529" w:rsidP="001C4C4C">
      <w:pPr>
        <w:rPr>
          <w:rFonts w:ascii="Arial" w:hAnsi="Arial" w:cs="Arial"/>
        </w:rPr>
      </w:pPr>
    </w:p>
    <w:p w14:paraId="1890BCB0" w14:textId="4994960E" w:rsidR="00BC2529" w:rsidRPr="00104C65" w:rsidRDefault="00BC2529" w:rsidP="001C4C4C">
      <w:pPr>
        <w:rPr>
          <w:rFonts w:ascii="Arial" w:hAnsi="Arial" w:cs="Arial"/>
        </w:rPr>
      </w:pPr>
      <w:r w:rsidRPr="00104C65">
        <w:rPr>
          <w:rFonts w:ascii="Arial" w:hAnsi="Arial" w:cs="Arial"/>
        </w:rPr>
        <w:t>Progression in ensembles is monitored by ensemble leaders and tutors and learners.  Learners will be progressed (</w:t>
      </w:r>
      <w:proofErr w:type="gramStart"/>
      <w:r w:rsidRPr="00104C65">
        <w:rPr>
          <w:rFonts w:ascii="Arial" w:hAnsi="Arial" w:cs="Arial"/>
        </w:rPr>
        <w:t>e.g.</w:t>
      </w:r>
      <w:proofErr w:type="gramEnd"/>
      <w:r w:rsidRPr="00104C65">
        <w:rPr>
          <w:rFonts w:ascii="Arial" w:hAnsi="Arial" w:cs="Arial"/>
        </w:rPr>
        <w:t xml:space="preserve"> given solos, offered section lead chairs, recommended for the next level of ensemble) as they are ready. </w:t>
      </w:r>
    </w:p>
    <w:p w14:paraId="2D746248" w14:textId="77777777" w:rsidR="00BC2529" w:rsidRPr="00104C65" w:rsidRDefault="00BC2529" w:rsidP="001C4C4C">
      <w:pPr>
        <w:rPr>
          <w:rFonts w:ascii="Arial" w:hAnsi="Arial" w:cs="Arial"/>
        </w:rPr>
      </w:pPr>
    </w:p>
    <w:p w14:paraId="7AB4BE26" w14:textId="6AB2AF74" w:rsidR="00BC2529" w:rsidRPr="00104C65" w:rsidRDefault="00235DD2" w:rsidP="001C4C4C">
      <w:pPr>
        <w:rPr>
          <w:rFonts w:ascii="Arial" w:hAnsi="Arial" w:cs="Arial"/>
        </w:rPr>
      </w:pPr>
      <w:r>
        <w:rPr>
          <w:rFonts w:ascii="Arial" w:hAnsi="Arial" w:cs="Arial"/>
        </w:rPr>
        <w:t>Tri-borough Music</w:t>
      </w:r>
      <w:r w:rsidR="00BC2529" w:rsidRPr="00104C65">
        <w:rPr>
          <w:rFonts w:ascii="Arial" w:hAnsi="Arial" w:cs="Arial"/>
        </w:rPr>
        <w:t xml:space="preserve"> Hub is developing a process to understand how young people progress their musical learning and participation immediately following their involvement with the Hub</w:t>
      </w:r>
      <w:r w:rsidR="009E389E">
        <w:rPr>
          <w:rFonts w:ascii="Arial" w:hAnsi="Arial" w:cs="Arial"/>
        </w:rPr>
        <w:t>.</w:t>
      </w:r>
    </w:p>
    <w:p w14:paraId="71B69669" w14:textId="77777777" w:rsidR="00651E6A" w:rsidRPr="00104C65" w:rsidRDefault="00651E6A" w:rsidP="001C4C4C">
      <w:pPr>
        <w:rPr>
          <w:rFonts w:ascii="Arial" w:hAnsi="Arial" w:cs="Arial"/>
        </w:rPr>
      </w:pPr>
    </w:p>
    <w:p w14:paraId="34F437E1" w14:textId="4188D8F8" w:rsidR="00651E6A" w:rsidRPr="00104C65" w:rsidRDefault="00651E6A" w:rsidP="001C4C4C">
      <w:pPr>
        <w:rPr>
          <w:rFonts w:ascii="Arial" w:hAnsi="Arial" w:cs="Arial"/>
        </w:rPr>
      </w:pPr>
      <w:r w:rsidRPr="00104C65">
        <w:rPr>
          <w:rFonts w:ascii="Arial" w:hAnsi="Arial" w:cs="Arial"/>
        </w:rPr>
        <w:t>Over time, data from this tracking will enable us to refine the Hub’s offer, information and support to children and young people to enable and inspire more of them to follow these routes.</w:t>
      </w:r>
    </w:p>
    <w:p w14:paraId="7B50B864" w14:textId="77777777" w:rsidR="00BC2529" w:rsidRPr="00104C65" w:rsidRDefault="00BC2529" w:rsidP="001C4C4C">
      <w:pPr>
        <w:rPr>
          <w:rFonts w:ascii="Arial" w:hAnsi="Arial" w:cs="Arial"/>
        </w:rPr>
      </w:pPr>
    </w:p>
    <w:p w14:paraId="6BE99CD6" w14:textId="0FB058F0" w:rsidR="00692BDE" w:rsidRPr="00104C65" w:rsidRDefault="00692BDE" w:rsidP="001C4C4C">
      <w:pPr>
        <w:pStyle w:val="Heading1"/>
        <w:rPr>
          <w:rFonts w:ascii="Arial" w:hAnsi="Arial" w:cs="Arial"/>
        </w:rPr>
      </w:pPr>
      <w:r w:rsidRPr="00104C65">
        <w:rPr>
          <w:rFonts w:ascii="Arial" w:hAnsi="Arial" w:cs="Arial"/>
        </w:rPr>
        <w:t>Monitoring</w:t>
      </w:r>
      <w:r w:rsidR="00750D50" w:rsidRPr="00104C65">
        <w:rPr>
          <w:rFonts w:ascii="Arial" w:hAnsi="Arial" w:cs="Arial"/>
        </w:rPr>
        <w:t xml:space="preserve"> and</w:t>
      </w:r>
      <w:r w:rsidRPr="00104C65">
        <w:rPr>
          <w:rFonts w:ascii="Arial" w:hAnsi="Arial" w:cs="Arial"/>
        </w:rPr>
        <w:t xml:space="preserve"> review</w:t>
      </w:r>
    </w:p>
    <w:p w14:paraId="21586910" w14:textId="12167451" w:rsidR="00CF6228" w:rsidRPr="00104C65" w:rsidRDefault="00692BDE" w:rsidP="001C4C4C">
      <w:pPr>
        <w:rPr>
          <w:rFonts w:ascii="Arial" w:hAnsi="Arial" w:cs="Arial"/>
        </w:rPr>
      </w:pPr>
      <w:r w:rsidRPr="00104C65">
        <w:rPr>
          <w:rFonts w:ascii="Arial" w:hAnsi="Arial" w:cs="Arial"/>
        </w:rPr>
        <w:t xml:space="preserve">This Progression Strategy will be recommended to the Hub board on </w:t>
      </w:r>
      <w:r w:rsidR="009E389E">
        <w:rPr>
          <w:rFonts w:ascii="Arial" w:hAnsi="Arial" w:cs="Arial"/>
        </w:rPr>
        <w:t>22</w:t>
      </w:r>
      <w:r w:rsidR="009E389E" w:rsidRPr="009E389E">
        <w:rPr>
          <w:rFonts w:ascii="Arial" w:hAnsi="Arial" w:cs="Arial"/>
          <w:vertAlign w:val="superscript"/>
        </w:rPr>
        <w:t>nd</w:t>
      </w:r>
      <w:r w:rsidR="009E389E">
        <w:rPr>
          <w:rFonts w:ascii="Arial" w:hAnsi="Arial" w:cs="Arial"/>
        </w:rPr>
        <w:t xml:space="preserve"> November 202</w:t>
      </w:r>
      <w:r w:rsidR="00DA4127">
        <w:rPr>
          <w:rFonts w:ascii="Arial" w:hAnsi="Arial" w:cs="Arial"/>
        </w:rPr>
        <w:t>3</w:t>
      </w:r>
      <w:r w:rsidRPr="00104C65">
        <w:rPr>
          <w:rFonts w:ascii="Arial" w:hAnsi="Arial" w:cs="Arial"/>
        </w:rPr>
        <w:t>.</w:t>
      </w:r>
    </w:p>
    <w:p w14:paraId="789E0A06" w14:textId="77777777" w:rsidR="00CF6228" w:rsidRPr="00104C65" w:rsidRDefault="00CF6228" w:rsidP="001C4C4C">
      <w:pPr>
        <w:rPr>
          <w:rFonts w:ascii="Arial" w:hAnsi="Arial" w:cs="Arial"/>
        </w:rPr>
      </w:pPr>
    </w:p>
    <w:p w14:paraId="1B0DEBBF" w14:textId="77777777" w:rsidR="00CF6228" w:rsidRPr="00104C65" w:rsidRDefault="00692BDE" w:rsidP="001C4C4C">
      <w:pPr>
        <w:rPr>
          <w:rFonts w:ascii="Arial" w:hAnsi="Arial" w:cs="Arial"/>
        </w:rPr>
      </w:pPr>
      <w:r w:rsidRPr="00104C65">
        <w:rPr>
          <w:rFonts w:ascii="Arial" w:hAnsi="Arial" w:cs="Arial"/>
        </w:rPr>
        <w:t>The Hub</w:t>
      </w:r>
      <w:r w:rsidR="00CF6228" w:rsidRPr="00104C65">
        <w:rPr>
          <w:rFonts w:ascii="Arial" w:hAnsi="Arial" w:cs="Arial"/>
        </w:rPr>
        <w:t>’s</w:t>
      </w:r>
      <w:r w:rsidRPr="00104C65">
        <w:rPr>
          <w:rFonts w:ascii="Arial" w:hAnsi="Arial" w:cs="Arial"/>
        </w:rPr>
        <w:t xml:space="preserve"> </w:t>
      </w:r>
      <w:r w:rsidR="00CF6228" w:rsidRPr="00104C65">
        <w:rPr>
          <w:rFonts w:ascii="Arial" w:hAnsi="Arial" w:cs="Arial"/>
        </w:rPr>
        <w:t>l</w:t>
      </w:r>
      <w:r w:rsidRPr="00104C65">
        <w:rPr>
          <w:rFonts w:ascii="Arial" w:hAnsi="Arial" w:cs="Arial"/>
        </w:rPr>
        <w:t xml:space="preserve">ead </w:t>
      </w:r>
      <w:r w:rsidR="00CF6228" w:rsidRPr="00104C65">
        <w:rPr>
          <w:rFonts w:ascii="Arial" w:hAnsi="Arial" w:cs="Arial"/>
        </w:rPr>
        <w:t xml:space="preserve">officer </w:t>
      </w:r>
      <w:r w:rsidRPr="00104C65">
        <w:rPr>
          <w:rFonts w:ascii="Arial" w:hAnsi="Arial" w:cs="Arial"/>
        </w:rPr>
        <w:t>will provide an update to quarterly board meetings throughout the year.</w:t>
      </w:r>
    </w:p>
    <w:p w14:paraId="79162B6C" w14:textId="77777777" w:rsidR="00CF6228" w:rsidRPr="00104C65" w:rsidRDefault="00CF6228" w:rsidP="001C4C4C">
      <w:pPr>
        <w:rPr>
          <w:rFonts w:ascii="Arial" w:hAnsi="Arial" w:cs="Arial"/>
        </w:rPr>
      </w:pPr>
    </w:p>
    <w:sectPr w:rsidR="00CF6228" w:rsidRPr="00104C65" w:rsidSect="00235DD2">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1CDEA" w14:textId="77777777" w:rsidR="00B30344" w:rsidRDefault="00B30344" w:rsidP="00001A5C">
      <w:r>
        <w:separator/>
      </w:r>
    </w:p>
  </w:endnote>
  <w:endnote w:type="continuationSeparator" w:id="0">
    <w:p w14:paraId="2AA0AACA" w14:textId="77777777" w:rsidR="00B30344" w:rsidRDefault="00B30344" w:rsidP="0000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3817" w14:textId="77777777" w:rsidR="00F94DAA" w:rsidRDefault="00F94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884290"/>
      <w:docPartObj>
        <w:docPartGallery w:val="Page Numbers (Bottom of Page)"/>
        <w:docPartUnique/>
      </w:docPartObj>
    </w:sdtPr>
    <w:sdtEndPr>
      <w:rPr>
        <w:noProof/>
      </w:rPr>
    </w:sdtEndPr>
    <w:sdtContent>
      <w:p w14:paraId="3726F691" w14:textId="39ECEC9F" w:rsidR="00235DD2" w:rsidRDefault="00235DD2" w:rsidP="00235DD2">
        <w:pPr>
          <w:pStyle w:val="Footer"/>
          <w:jc w:val="right"/>
        </w:pPr>
        <w:r>
          <w:rPr>
            <w:noProof/>
          </w:rPr>
          <w:drawing>
            <wp:anchor distT="0" distB="0" distL="114300" distR="114300" simplePos="0" relativeHeight="251657728" behindDoc="1" locked="0" layoutInCell="1" allowOverlap="1" wp14:anchorId="38F835D0" wp14:editId="3309F533">
              <wp:simplePos x="0" y="0"/>
              <wp:positionH relativeFrom="margin">
                <wp:posOffset>3644265</wp:posOffset>
              </wp:positionH>
              <wp:positionV relativeFrom="bottomMargin">
                <wp:posOffset>116205</wp:posOffset>
              </wp:positionV>
              <wp:extent cx="1978660" cy="523240"/>
              <wp:effectExtent l="0" t="0" r="2540" b="0"/>
              <wp:wrapNone/>
              <wp:docPr id="7" name="Picture 7" descr="A logo for a public fund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for a public funding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66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hidden="0" allowOverlap="1" wp14:anchorId="095EBDA2" wp14:editId="20DE389F">
              <wp:simplePos x="0" y="0"/>
              <wp:positionH relativeFrom="column">
                <wp:posOffset>-177421</wp:posOffset>
              </wp:positionH>
              <wp:positionV relativeFrom="paragraph">
                <wp:posOffset>54174</wp:posOffset>
              </wp:positionV>
              <wp:extent cx="3627755" cy="450850"/>
              <wp:effectExtent l="0" t="0" r="0" b="6350"/>
              <wp:wrapNone/>
              <wp:docPr id="8" name="Picture 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referRelativeResize="0"/>
                    </pic:nvPicPr>
                    <pic:blipFill>
                      <a:blip r:embed="rId2"/>
                      <a:srcRect/>
                      <a:stretch>
                        <a:fillRect/>
                      </a:stretch>
                    </pic:blipFill>
                    <pic:spPr>
                      <a:xfrm>
                        <a:off x="0" y="0"/>
                        <a:ext cx="3627755" cy="450850"/>
                      </a:xfrm>
                      <a:prstGeom prst="rect">
                        <a:avLst/>
                      </a:prstGeom>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35BFDF40" w14:textId="08175964" w:rsidR="00506406" w:rsidRDefault="00506406" w:rsidP="0050640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0381" w14:textId="487065A8" w:rsidR="00A30197" w:rsidRDefault="00104C65" w:rsidP="00A30197">
    <w:pPr>
      <w:pStyle w:val="Footer"/>
      <w:jc w:val="left"/>
    </w:pPr>
    <w:r>
      <w:rPr>
        <w:noProof/>
      </w:rPr>
      <w:drawing>
        <wp:anchor distT="0" distB="0" distL="114300" distR="114300" simplePos="0" relativeHeight="251656704" behindDoc="1" locked="0" layoutInCell="1" hidden="0" allowOverlap="1" wp14:anchorId="7F9D5C3C" wp14:editId="013ECDB7">
          <wp:simplePos x="0" y="0"/>
          <wp:positionH relativeFrom="column">
            <wp:posOffset>-82209</wp:posOffset>
          </wp:positionH>
          <wp:positionV relativeFrom="paragraph">
            <wp:posOffset>5080</wp:posOffset>
          </wp:positionV>
          <wp:extent cx="3627755" cy="450850"/>
          <wp:effectExtent l="0" t="0" r="0" b="6350"/>
          <wp:wrapNone/>
          <wp:docPr id="5" name="image2.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 company name&#10;&#10;Description automatically generated"/>
                  <pic:cNvPicPr preferRelativeResize="0"/>
                </pic:nvPicPr>
                <pic:blipFill>
                  <a:blip r:embed="rId1"/>
                  <a:srcRect/>
                  <a:stretch>
                    <a:fillRect/>
                  </a:stretch>
                </pic:blipFill>
                <pic:spPr>
                  <a:xfrm>
                    <a:off x="0" y="0"/>
                    <a:ext cx="3627755" cy="450850"/>
                  </a:xfrm>
                  <a:prstGeom prst="rect">
                    <a:avLst/>
                  </a:prstGeom>
                  <a:ln/>
                </pic:spPr>
              </pic:pic>
            </a:graphicData>
          </a:graphic>
        </wp:anchor>
      </w:drawing>
    </w:r>
    <w:r>
      <w:rPr>
        <w:noProof/>
      </w:rPr>
      <w:drawing>
        <wp:anchor distT="0" distB="0" distL="114300" distR="114300" simplePos="0" relativeHeight="251654656" behindDoc="0" locked="0" layoutInCell="1" allowOverlap="1" wp14:anchorId="06B97807" wp14:editId="700A26C1">
          <wp:simplePos x="0" y="0"/>
          <wp:positionH relativeFrom="margin">
            <wp:align>right</wp:align>
          </wp:positionH>
          <wp:positionV relativeFrom="bottomMargin">
            <wp:posOffset>116205</wp:posOffset>
          </wp:positionV>
          <wp:extent cx="1978660" cy="52324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866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52B2281B" w14:textId="0EC23E4D" w:rsidR="00001A5C" w:rsidRDefault="00001A5C" w:rsidP="00A30197">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BAC6" w14:textId="77777777" w:rsidR="00B30344" w:rsidRDefault="00B30344" w:rsidP="00001A5C">
      <w:r>
        <w:separator/>
      </w:r>
    </w:p>
  </w:footnote>
  <w:footnote w:type="continuationSeparator" w:id="0">
    <w:p w14:paraId="251E3704" w14:textId="77777777" w:rsidR="00B30344" w:rsidRDefault="00B30344" w:rsidP="00001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74D2" w14:textId="77777777" w:rsidR="00F94DAA" w:rsidRDefault="00F94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285E" w14:textId="7517DD6D" w:rsidR="00D32023" w:rsidRPr="00F94DAA" w:rsidRDefault="00D32023">
    <w:pPr>
      <w:pStyle w:val="Header"/>
      <w:rPr>
        <w:rFonts w:ascii="Arial" w:hAnsi="Arial" w:cs="Arial"/>
      </w:rPr>
    </w:pPr>
    <w:r w:rsidRPr="00F94DAA">
      <w:rPr>
        <w:rFonts w:ascii="Arial" w:eastAsia="Arial" w:hAnsi="Arial" w:cs="Arial"/>
        <w:noProof/>
      </w:rPr>
      <w:drawing>
        <wp:anchor distT="0" distB="0" distL="0" distR="0" simplePos="0" relativeHeight="251659776" behindDoc="1" locked="0" layoutInCell="1" hidden="0" allowOverlap="1" wp14:anchorId="01F6AEFA" wp14:editId="6158D75F">
          <wp:simplePos x="0" y="0"/>
          <wp:positionH relativeFrom="margin">
            <wp:posOffset>4476750</wp:posOffset>
          </wp:positionH>
          <wp:positionV relativeFrom="paragraph">
            <wp:posOffset>-247015</wp:posOffset>
          </wp:positionV>
          <wp:extent cx="1892300" cy="584200"/>
          <wp:effectExtent l="0" t="0" r="0" b="6350"/>
          <wp:wrapNone/>
          <wp:docPr id="32" name="image2.jpg" descr="Logo_A[1]"/>
          <wp:cNvGraphicFramePr/>
          <a:graphic xmlns:a="http://schemas.openxmlformats.org/drawingml/2006/main">
            <a:graphicData uri="http://schemas.openxmlformats.org/drawingml/2006/picture">
              <pic:pic xmlns:pic="http://schemas.openxmlformats.org/drawingml/2006/picture">
                <pic:nvPicPr>
                  <pic:cNvPr id="0" name="image2.jpg" descr="Logo_A[1]"/>
                  <pic:cNvPicPr preferRelativeResize="0"/>
                </pic:nvPicPr>
                <pic:blipFill>
                  <a:blip r:embed="rId1"/>
                  <a:srcRect/>
                  <a:stretch>
                    <a:fillRect/>
                  </a:stretch>
                </pic:blipFill>
                <pic:spPr>
                  <a:xfrm>
                    <a:off x="0" y="0"/>
                    <a:ext cx="1892300" cy="584200"/>
                  </a:xfrm>
                  <a:prstGeom prst="rect">
                    <a:avLst/>
                  </a:prstGeom>
                  <a:ln/>
                </pic:spPr>
              </pic:pic>
            </a:graphicData>
          </a:graphic>
          <wp14:sizeRelH relativeFrom="margin">
            <wp14:pctWidth>0</wp14:pctWidth>
          </wp14:sizeRelH>
          <wp14:sizeRelV relativeFrom="margin">
            <wp14:pctHeight>0</wp14:pctHeight>
          </wp14:sizeRelV>
        </wp:anchor>
      </w:drawing>
    </w:r>
    <w:r w:rsidR="00F94DAA" w:rsidRPr="00F94DAA">
      <w:rPr>
        <w:rFonts w:ascii="Arial" w:hAnsi="Arial" w:cs="Arial"/>
      </w:rPr>
      <w:t>2023-24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6C80" w14:textId="36ACE8A5" w:rsidR="00104C65" w:rsidRPr="00104C65" w:rsidRDefault="00104C65" w:rsidP="00104C65">
    <w:pPr>
      <w:pStyle w:val="Header"/>
      <w:tabs>
        <w:tab w:val="clear" w:pos="4513"/>
        <w:tab w:val="clear" w:pos="9026"/>
        <w:tab w:val="left" w:pos="903"/>
      </w:tabs>
      <w:rPr>
        <w:rFonts w:ascii="Arial" w:hAnsi="Arial" w:cs="Arial"/>
      </w:rPr>
    </w:pPr>
    <w:r w:rsidRPr="00104C65">
      <w:rPr>
        <w:rFonts w:ascii="Arial" w:hAnsi="Arial" w:cs="Arial"/>
        <w:noProof/>
      </w:rPr>
      <w:drawing>
        <wp:anchor distT="0" distB="0" distL="0" distR="0" simplePos="0" relativeHeight="251655680" behindDoc="1" locked="0" layoutInCell="1" hidden="0" allowOverlap="1" wp14:anchorId="715A3918" wp14:editId="6FAA96AE">
          <wp:simplePos x="0" y="0"/>
          <wp:positionH relativeFrom="column">
            <wp:posOffset>4879074</wp:posOffset>
          </wp:positionH>
          <wp:positionV relativeFrom="paragraph">
            <wp:posOffset>-218999</wp:posOffset>
          </wp:positionV>
          <wp:extent cx="1405890" cy="489585"/>
          <wp:effectExtent l="0" t="0" r="0" b="0"/>
          <wp:wrapNone/>
          <wp:docPr id="4" name="image4.jpg" descr="Logo_A[1]"/>
          <wp:cNvGraphicFramePr/>
          <a:graphic xmlns:a="http://schemas.openxmlformats.org/drawingml/2006/main">
            <a:graphicData uri="http://schemas.openxmlformats.org/drawingml/2006/picture">
              <pic:pic xmlns:pic="http://schemas.openxmlformats.org/drawingml/2006/picture">
                <pic:nvPicPr>
                  <pic:cNvPr id="0" name="image4.jpg" descr="Logo_A[1]"/>
                  <pic:cNvPicPr preferRelativeResize="0"/>
                </pic:nvPicPr>
                <pic:blipFill>
                  <a:blip r:embed="rId1"/>
                  <a:srcRect/>
                  <a:stretch>
                    <a:fillRect/>
                  </a:stretch>
                </pic:blipFill>
                <pic:spPr>
                  <a:xfrm>
                    <a:off x="0" y="0"/>
                    <a:ext cx="1405890" cy="489585"/>
                  </a:xfrm>
                  <a:prstGeom prst="rect">
                    <a:avLst/>
                  </a:prstGeom>
                  <a:ln/>
                </pic:spPr>
              </pic:pic>
            </a:graphicData>
          </a:graphic>
        </wp:anchor>
      </w:drawing>
    </w:r>
    <w:r w:rsidRPr="00104C65">
      <w:rPr>
        <w:rFonts w:ascii="Arial" w:hAnsi="Arial" w:cs="Arial"/>
      </w:rPr>
      <w:t xml:space="preserve">Progression Strategy </w:t>
    </w:r>
    <w:r w:rsidRPr="00104C65">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AC4"/>
    <w:multiLevelType w:val="hybridMultilevel"/>
    <w:tmpl w:val="6422FB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2289C"/>
    <w:multiLevelType w:val="hybridMultilevel"/>
    <w:tmpl w:val="29B46D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606000"/>
    <w:multiLevelType w:val="hybridMultilevel"/>
    <w:tmpl w:val="B77A51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54090"/>
    <w:multiLevelType w:val="hybridMultilevel"/>
    <w:tmpl w:val="358EF7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140B92"/>
    <w:multiLevelType w:val="hybridMultilevel"/>
    <w:tmpl w:val="406CDA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D567E"/>
    <w:multiLevelType w:val="hybridMultilevel"/>
    <w:tmpl w:val="B10215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0181B"/>
    <w:multiLevelType w:val="hybridMultilevel"/>
    <w:tmpl w:val="D9B6A8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B357C"/>
    <w:multiLevelType w:val="hybridMultilevel"/>
    <w:tmpl w:val="9CA2891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7073A98"/>
    <w:multiLevelType w:val="hybridMultilevel"/>
    <w:tmpl w:val="30103A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413974"/>
    <w:multiLevelType w:val="hybridMultilevel"/>
    <w:tmpl w:val="AA52A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5B0205"/>
    <w:multiLevelType w:val="hybridMultilevel"/>
    <w:tmpl w:val="ECC856BE"/>
    <w:lvl w:ilvl="0" w:tplc="08090001">
      <w:start w:val="1"/>
      <w:numFmt w:val="bullet"/>
      <w:lvlText w:val=""/>
      <w:lvlJc w:val="left"/>
      <w:pPr>
        <w:ind w:left="360" w:hanging="360"/>
      </w:pPr>
      <w:rPr>
        <w:rFonts w:ascii="Symbol" w:hAnsi="Symbol"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0C90FA0"/>
    <w:multiLevelType w:val="hybridMultilevel"/>
    <w:tmpl w:val="211E0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D629FC"/>
    <w:multiLevelType w:val="hybridMultilevel"/>
    <w:tmpl w:val="E5B291E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5953D1"/>
    <w:multiLevelType w:val="hybridMultilevel"/>
    <w:tmpl w:val="90FA36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1A36A0"/>
    <w:multiLevelType w:val="hybridMultilevel"/>
    <w:tmpl w:val="BFF471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1D749D"/>
    <w:multiLevelType w:val="hybridMultilevel"/>
    <w:tmpl w:val="E618D3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F5F84"/>
    <w:multiLevelType w:val="hybridMultilevel"/>
    <w:tmpl w:val="32AAF1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C76879"/>
    <w:multiLevelType w:val="hybridMultilevel"/>
    <w:tmpl w:val="520ABD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421EBE"/>
    <w:multiLevelType w:val="hybridMultilevel"/>
    <w:tmpl w:val="0C5205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5F4E4C"/>
    <w:multiLevelType w:val="hybridMultilevel"/>
    <w:tmpl w:val="F9967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6D3BB3"/>
    <w:multiLevelType w:val="hybridMultilevel"/>
    <w:tmpl w:val="F6E2F80A"/>
    <w:lvl w:ilvl="0" w:tplc="6AD611C4">
      <w:start w:val="1"/>
      <w:numFmt w:val="bullet"/>
      <w:pStyle w:val="GG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446CCC"/>
    <w:multiLevelType w:val="multilevel"/>
    <w:tmpl w:val="22DA5C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7B13580E"/>
    <w:multiLevelType w:val="hybridMultilevel"/>
    <w:tmpl w:val="9094FA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415350">
    <w:abstractNumId w:val="20"/>
  </w:num>
  <w:num w:numId="2" w16cid:durableId="554126342">
    <w:abstractNumId w:val="14"/>
  </w:num>
  <w:num w:numId="3" w16cid:durableId="1275864900">
    <w:abstractNumId w:val="2"/>
  </w:num>
  <w:num w:numId="4" w16cid:durableId="292640948">
    <w:abstractNumId w:val="17"/>
  </w:num>
  <w:num w:numId="5" w16cid:durableId="406342766">
    <w:abstractNumId w:val="18"/>
  </w:num>
  <w:num w:numId="6" w16cid:durableId="2083679978">
    <w:abstractNumId w:val="16"/>
  </w:num>
  <w:num w:numId="7" w16cid:durableId="1380476398">
    <w:abstractNumId w:val="9"/>
  </w:num>
  <w:num w:numId="8" w16cid:durableId="1827670376">
    <w:abstractNumId w:val="5"/>
  </w:num>
  <w:num w:numId="9" w16cid:durableId="1589464260">
    <w:abstractNumId w:val="8"/>
  </w:num>
  <w:num w:numId="10" w16cid:durableId="2009936863">
    <w:abstractNumId w:val="6"/>
  </w:num>
  <w:num w:numId="11" w16cid:durableId="762259037">
    <w:abstractNumId w:val="0"/>
  </w:num>
  <w:num w:numId="12" w16cid:durableId="866679942">
    <w:abstractNumId w:val="22"/>
  </w:num>
  <w:num w:numId="13" w16cid:durableId="199829395">
    <w:abstractNumId w:val="15"/>
  </w:num>
  <w:num w:numId="14" w16cid:durableId="622074146">
    <w:abstractNumId w:val="19"/>
  </w:num>
  <w:num w:numId="15" w16cid:durableId="1735394864">
    <w:abstractNumId w:val="4"/>
  </w:num>
  <w:num w:numId="16" w16cid:durableId="1605959717">
    <w:abstractNumId w:val="11"/>
  </w:num>
  <w:num w:numId="17" w16cid:durableId="1018236402">
    <w:abstractNumId w:val="12"/>
  </w:num>
  <w:num w:numId="18" w16cid:durableId="844173377">
    <w:abstractNumId w:val="10"/>
  </w:num>
  <w:num w:numId="19" w16cid:durableId="1238900339">
    <w:abstractNumId w:val="13"/>
  </w:num>
  <w:num w:numId="20" w16cid:durableId="251937753">
    <w:abstractNumId w:val="3"/>
  </w:num>
  <w:num w:numId="21" w16cid:durableId="2056078207">
    <w:abstractNumId w:val="21"/>
  </w:num>
  <w:num w:numId="22" w16cid:durableId="582488993">
    <w:abstractNumId w:val="7"/>
  </w:num>
  <w:num w:numId="23" w16cid:durableId="185949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C8"/>
    <w:rsid w:val="00001A5C"/>
    <w:rsid w:val="00027A26"/>
    <w:rsid w:val="0006078E"/>
    <w:rsid w:val="00085077"/>
    <w:rsid w:val="0009213D"/>
    <w:rsid w:val="00097F9E"/>
    <w:rsid w:val="000A3CDA"/>
    <w:rsid w:val="000B1F6E"/>
    <w:rsid w:val="000E4019"/>
    <w:rsid w:val="000F1884"/>
    <w:rsid w:val="000F7CC4"/>
    <w:rsid w:val="00102765"/>
    <w:rsid w:val="0010374B"/>
    <w:rsid w:val="00104C65"/>
    <w:rsid w:val="00111501"/>
    <w:rsid w:val="00115102"/>
    <w:rsid w:val="00153A96"/>
    <w:rsid w:val="00161D5F"/>
    <w:rsid w:val="00176554"/>
    <w:rsid w:val="001A5EA3"/>
    <w:rsid w:val="001C4C4C"/>
    <w:rsid w:val="001D7CE1"/>
    <w:rsid w:val="001E4FC5"/>
    <w:rsid w:val="001F13BD"/>
    <w:rsid w:val="0020287F"/>
    <w:rsid w:val="0021533E"/>
    <w:rsid w:val="00233885"/>
    <w:rsid w:val="00235DD2"/>
    <w:rsid w:val="00250D3A"/>
    <w:rsid w:val="00253531"/>
    <w:rsid w:val="00272FC5"/>
    <w:rsid w:val="002A350F"/>
    <w:rsid w:val="002A453F"/>
    <w:rsid w:val="002C7101"/>
    <w:rsid w:val="00302E77"/>
    <w:rsid w:val="00310B18"/>
    <w:rsid w:val="00316AD9"/>
    <w:rsid w:val="00320627"/>
    <w:rsid w:val="0032084D"/>
    <w:rsid w:val="00330A62"/>
    <w:rsid w:val="00342807"/>
    <w:rsid w:val="00347E6C"/>
    <w:rsid w:val="0035642E"/>
    <w:rsid w:val="00367660"/>
    <w:rsid w:val="003A05F5"/>
    <w:rsid w:val="003A0CDA"/>
    <w:rsid w:val="003D10AC"/>
    <w:rsid w:val="003E5AF0"/>
    <w:rsid w:val="00401A41"/>
    <w:rsid w:val="004219A4"/>
    <w:rsid w:val="00422017"/>
    <w:rsid w:val="00443F11"/>
    <w:rsid w:val="00452D62"/>
    <w:rsid w:val="00476DDA"/>
    <w:rsid w:val="004851C8"/>
    <w:rsid w:val="00485E79"/>
    <w:rsid w:val="00491835"/>
    <w:rsid w:val="004A0E8A"/>
    <w:rsid w:val="004B0B86"/>
    <w:rsid w:val="004E1EDE"/>
    <w:rsid w:val="004E34E6"/>
    <w:rsid w:val="004F0A00"/>
    <w:rsid w:val="00506406"/>
    <w:rsid w:val="00517A77"/>
    <w:rsid w:val="00534335"/>
    <w:rsid w:val="00537D30"/>
    <w:rsid w:val="00542399"/>
    <w:rsid w:val="0054360C"/>
    <w:rsid w:val="005721B3"/>
    <w:rsid w:val="00576FAE"/>
    <w:rsid w:val="00584481"/>
    <w:rsid w:val="00587B17"/>
    <w:rsid w:val="00591AD3"/>
    <w:rsid w:val="005C2293"/>
    <w:rsid w:val="005C3360"/>
    <w:rsid w:val="006067FB"/>
    <w:rsid w:val="006272A2"/>
    <w:rsid w:val="006316A4"/>
    <w:rsid w:val="00651E6A"/>
    <w:rsid w:val="00652857"/>
    <w:rsid w:val="006713F5"/>
    <w:rsid w:val="0067343C"/>
    <w:rsid w:val="00692BDE"/>
    <w:rsid w:val="006A2FFC"/>
    <w:rsid w:val="006A7D0D"/>
    <w:rsid w:val="006B5333"/>
    <w:rsid w:val="006E464D"/>
    <w:rsid w:val="0072075D"/>
    <w:rsid w:val="00722C3D"/>
    <w:rsid w:val="007342EA"/>
    <w:rsid w:val="00742570"/>
    <w:rsid w:val="00750D50"/>
    <w:rsid w:val="00752F76"/>
    <w:rsid w:val="00756FA0"/>
    <w:rsid w:val="00763BE3"/>
    <w:rsid w:val="0077349B"/>
    <w:rsid w:val="00792198"/>
    <w:rsid w:val="007B0F94"/>
    <w:rsid w:val="007C4E46"/>
    <w:rsid w:val="007D22CF"/>
    <w:rsid w:val="007D3BB6"/>
    <w:rsid w:val="007D6A2F"/>
    <w:rsid w:val="007E2043"/>
    <w:rsid w:val="007E209B"/>
    <w:rsid w:val="007F66E9"/>
    <w:rsid w:val="008043F9"/>
    <w:rsid w:val="00804BDA"/>
    <w:rsid w:val="00824F64"/>
    <w:rsid w:val="0083378A"/>
    <w:rsid w:val="00863DD6"/>
    <w:rsid w:val="00864D34"/>
    <w:rsid w:val="00866ADE"/>
    <w:rsid w:val="0087065C"/>
    <w:rsid w:val="0092292F"/>
    <w:rsid w:val="00926DBA"/>
    <w:rsid w:val="00927CDA"/>
    <w:rsid w:val="00945C32"/>
    <w:rsid w:val="009527B0"/>
    <w:rsid w:val="009B0FCF"/>
    <w:rsid w:val="009B6147"/>
    <w:rsid w:val="009D54E8"/>
    <w:rsid w:val="009E389E"/>
    <w:rsid w:val="009E7DF7"/>
    <w:rsid w:val="00A15106"/>
    <w:rsid w:val="00A30197"/>
    <w:rsid w:val="00A3486D"/>
    <w:rsid w:val="00A402DB"/>
    <w:rsid w:val="00A769E0"/>
    <w:rsid w:val="00A77D23"/>
    <w:rsid w:val="00A908A8"/>
    <w:rsid w:val="00AB516F"/>
    <w:rsid w:val="00AE194C"/>
    <w:rsid w:val="00AE2325"/>
    <w:rsid w:val="00B232A9"/>
    <w:rsid w:val="00B30344"/>
    <w:rsid w:val="00B3309D"/>
    <w:rsid w:val="00B434E4"/>
    <w:rsid w:val="00B5140C"/>
    <w:rsid w:val="00B858FC"/>
    <w:rsid w:val="00BB16FB"/>
    <w:rsid w:val="00BC2529"/>
    <w:rsid w:val="00BD4BF6"/>
    <w:rsid w:val="00BD65B5"/>
    <w:rsid w:val="00BE6C21"/>
    <w:rsid w:val="00C17CEA"/>
    <w:rsid w:val="00C21C6E"/>
    <w:rsid w:val="00C2201D"/>
    <w:rsid w:val="00C22B78"/>
    <w:rsid w:val="00C24B90"/>
    <w:rsid w:val="00C31DA4"/>
    <w:rsid w:val="00C3563B"/>
    <w:rsid w:val="00C35AC3"/>
    <w:rsid w:val="00C447FB"/>
    <w:rsid w:val="00C51452"/>
    <w:rsid w:val="00C635AE"/>
    <w:rsid w:val="00C6451B"/>
    <w:rsid w:val="00C660F4"/>
    <w:rsid w:val="00C66EC2"/>
    <w:rsid w:val="00C706E2"/>
    <w:rsid w:val="00C73561"/>
    <w:rsid w:val="00CB54F0"/>
    <w:rsid w:val="00CB7BC3"/>
    <w:rsid w:val="00CD24E9"/>
    <w:rsid w:val="00CE3F74"/>
    <w:rsid w:val="00CF5FBC"/>
    <w:rsid w:val="00CF6228"/>
    <w:rsid w:val="00D06E89"/>
    <w:rsid w:val="00D235B4"/>
    <w:rsid w:val="00D32023"/>
    <w:rsid w:val="00D50040"/>
    <w:rsid w:val="00D53F69"/>
    <w:rsid w:val="00D569CA"/>
    <w:rsid w:val="00D606FC"/>
    <w:rsid w:val="00D62B54"/>
    <w:rsid w:val="00D66645"/>
    <w:rsid w:val="00D6773C"/>
    <w:rsid w:val="00D81ECA"/>
    <w:rsid w:val="00DA4127"/>
    <w:rsid w:val="00DD14C7"/>
    <w:rsid w:val="00DD5BED"/>
    <w:rsid w:val="00DF5CF2"/>
    <w:rsid w:val="00E1236D"/>
    <w:rsid w:val="00E14549"/>
    <w:rsid w:val="00E22BB1"/>
    <w:rsid w:val="00E61F10"/>
    <w:rsid w:val="00E633CC"/>
    <w:rsid w:val="00E76A85"/>
    <w:rsid w:val="00E80CFA"/>
    <w:rsid w:val="00E9253F"/>
    <w:rsid w:val="00F20ABC"/>
    <w:rsid w:val="00F22793"/>
    <w:rsid w:val="00F63775"/>
    <w:rsid w:val="00F767E7"/>
    <w:rsid w:val="00F80019"/>
    <w:rsid w:val="00F84A44"/>
    <w:rsid w:val="00F94DAA"/>
    <w:rsid w:val="00FA0A63"/>
    <w:rsid w:val="00FC4D31"/>
    <w:rsid w:val="00FD2DBC"/>
    <w:rsid w:val="00FE4BB5"/>
    <w:rsid w:val="00FF1668"/>
    <w:rsid w:val="00FF7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D99D0"/>
  <w15:chartTrackingRefBased/>
  <w15:docId w15:val="{13DB4FFB-C456-42D1-88E1-8F6D16AE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DF7"/>
  </w:style>
  <w:style w:type="paragraph" w:styleId="Heading1">
    <w:name w:val="heading 1"/>
    <w:basedOn w:val="Normal"/>
    <w:next w:val="Normal"/>
    <w:link w:val="Heading1Char"/>
    <w:uiPriority w:val="9"/>
    <w:qFormat/>
    <w:rsid w:val="004851C8"/>
    <w:pPr>
      <w:keepNext/>
      <w:keepLines/>
      <w:spacing w:before="240"/>
      <w:outlineLvl w:val="0"/>
    </w:pPr>
    <w:rPr>
      <w:rFonts w:asciiTheme="majorHAnsi" w:eastAsiaTheme="majorEastAsia" w:hAnsiTheme="majorHAnsi" w:cstheme="majorBidi"/>
      <w:color w:val="79172C" w:themeColor="accent1" w:themeShade="BF"/>
      <w:sz w:val="32"/>
      <w:szCs w:val="32"/>
    </w:rPr>
  </w:style>
  <w:style w:type="paragraph" w:styleId="Heading2">
    <w:name w:val="heading 2"/>
    <w:basedOn w:val="Normal"/>
    <w:next w:val="Normal"/>
    <w:link w:val="Heading2Char"/>
    <w:uiPriority w:val="9"/>
    <w:unhideWhenUsed/>
    <w:qFormat/>
    <w:rsid w:val="004851C8"/>
    <w:pPr>
      <w:keepNext/>
      <w:keepLines/>
      <w:spacing w:before="40"/>
      <w:outlineLvl w:val="1"/>
    </w:pPr>
    <w:rPr>
      <w:rFonts w:asciiTheme="majorHAnsi" w:eastAsiaTheme="majorEastAsia" w:hAnsiTheme="majorHAnsi" w:cstheme="majorBidi"/>
      <w:color w:val="79172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ullet">
    <w:name w:val="GG Bullet"/>
    <w:qFormat/>
    <w:rsid w:val="00111501"/>
    <w:pPr>
      <w:numPr>
        <w:numId w:val="1"/>
      </w:numPr>
    </w:pPr>
  </w:style>
  <w:style w:type="character" w:styleId="Hyperlink">
    <w:name w:val="Hyperlink"/>
    <w:basedOn w:val="DefaultParagraphFont"/>
    <w:uiPriority w:val="99"/>
    <w:unhideWhenUsed/>
    <w:rsid w:val="00001A5C"/>
    <w:rPr>
      <w:color w:val="0563C1" w:themeColor="hyperlink"/>
      <w:u w:val="single"/>
    </w:rPr>
  </w:style>
  <w:style w:type="character" w:styleId="UnresolvedMention">
    <w:name w:val="Unresolved Mention"/>
    <w:basedOn w:val="DefaultParagraphFont"/>
    <w:uiPriority w:val="99"/>
    <w:semiHidden/>
    <w:unhideWhenUsed/>
    <w:rsid w:val="00001A5C"/>
    <w:rPr>
      <w:color w:val="605E5C"/>
      <w:shd w:val="clear" w:color="auto" w:fill="E1DFDD"/>
    </w:rPr>
  </w:style>
  <w:style w:type="paragraph" w:styleId="Title">
    <w:name w:val="Title"/>
    <w:basedOn w:val="Normal"/>
    <w:next w:val="Normal"/>
    <w:link w:val="TitleChar"/>
    <w:uiPriority w:val="10"/>
    <w:qFormat/>
    <w:rsid w:val="00001A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A5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01A5C"/>
    <w:pPr>
      <w:tabs>
        <w:tab w:val="center" w:pos="4513"/>
        <w:tab w:val="right" w:pos="9026"/>
      </w:tabs>
    </w:pPr>
  </w:style>
  <w:style w:type="character" w:customStyle="1" w:styleId="HeaderChar">
    <w:name w:val="Header Char"/>
    <w:basedOn w:val="DefaultParagraphFont"/>
    <w:link w:val="Header"/>
    <w:uiPriority w:val="99"/>
    <w:rsid w:val="00001A5C"/>
  </w:style>
  <w:style w:type="paragraph" w:styleId="Footer">
    <w:name w:val="footer"/>
    <w:basedOn w:val="Normal"/>
    <w:link w:val="FooterChar"/>
    <w:uiPriority w:val="99"/>
    <w:unhideWhenUsed/>
    <w:rsid w:val="00001A5C"/>
    <w:pPr>
      <w:tabs>
        <w:tab w:val="center" w:pos="4513"/>
        <w:tab w:val="right" w:pos="9026"/>
      </w:tabs>
    </w:pPr>
  </w:style>
  <w:style w:type="character" w:customStyle="1" w:styleId="FooterChar">
    <w:name w:val="Footer Char"/>
    <w:basedOn w:val="DefaultParagraphFont"/>
    <w:link w:val="Footer"/>
    <w:uiPriority w:val="99"/>
    <w:rsid w:val="00001A5C"/>
  </w:style>
  <w:style w:type="paragraph" w:styleId="Subtitle">
    <w:name w:val="Subtitle"/>
    <w:basedOn w:val="Normal"/>
    <w:next w:val="Normal"/>
    <w:link w:val="SubtitleChar"/>
    <w:uiPriority w:val="11"/>
    <w:qFormat/>
    <w:rsid w:val="00027A2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27A26"/>
    <w:rPr>
      <w:rFonts w:eastAsiaTheme="minorEastAsia"/>
      <w:color w:val="5A5A5A" w:themeColor="text1" w:themeTint="A5"/>
      <w:spacing w:val="15"/>
    </w:rPr>
  </w:style>
  <w:style w:type="character" w:styleId="IntenseReference">
    <w:name w:val="Intense Reference"/>
    <w:basedOn w:val="DefaultParagraphFont"/>
    <w:uiPriority w:val="32"/>
    <w:qFormat/>
    <w:rsid w:val="004851C8"/>
    <w:rPr>
      <w:b/>
      <w:bCs/>
      <w:smallCaps/>
      <w:color w:val="A21F3C" w:themeColor="accent1"/>
      <w:spacing w:val="5"/>
    </w:rPr>
  </w:style>
  <w:style w:type="paragraph" w:styleId="ListParagraph">
    <w:name w:val="List Paragraph"/>
    <w:aliases w:val="F5 List Paragraph,List Paragraph1"/>
    <w:basedOn w:val="Normal"/>
    <w:link w:val="ListParagraphChar"/>
    <w:uiPriority w:val="34"/>
    <w:qFormat/>
    <w:rsid w:val="004851C8"/>
    <w:pPr>
      <w:ind w:left="720"/>
      <w:contextualSpacing/>
    </w:pPr>
    <w:rPr>
      <w:kern w:val="2"/>
      <w14:ligatures w14:val="standardContextual"/>
    </w:rPr>
  </w:style>
  <w:style w:type="character" w:customStyle="1" w:styleId="Heading1Char">
    <w:name w:val="Heading 1 Char"/>
    <w:basedOn w:val="DefaultParagraphFont"/>
    <w:link w:val="Heading1"/>
    <w:uiPriority w:val="9"/>
    <w:rsid w:val="004851C8"/>
    <w:rPr>
      <w:rFonts w:asciiTheme="majorHAnsi" w:eastAsiaTheme="majorEastAsia" w:hAnsiTheme="majorHAnsi" w:cstheme="majorBidi"/>
      <w:color w:val="79172C" w:themeColor="accent1" w:themeShade="BF"/>
      <w:sz w:val="32"/>
      <w:szCs w:val="32"/>
    </w:rPr>
  </w:style>
  <w:style w:type="character" w:customStyle="1" w:styleId="Heading2Char">
    <w:name w:val="Heading 2 Char"/>
    <w:basedOn w:val="DefaultParagraphFont"/>
    <w:link w:val="Heading2"/>
    <w:uiPriority w:val="9"/>
    <w:rsid w:val="004851C8"/>
    <w:rPr>
      <w:rFonts w:asciiTheme="majorHAnsi" w:eastAsiaTheme="majorEastAsia" w:hAnsiTheme="majorHAnsi" w:cstheme="majorBidi"/>
      <w:color w:val="79172C" w:themeColor="accent1" w:themeShade="BF"/>
      <w:sz w:val="26"/>
      <w:szCs w:val="26"/>
    </w:rPr>
  </w:style>
  <w:style w:type="paragraph" w:styleId="FootnoteText">
    <w:name w:val="footnote text"/>
    <w:basedOn w:val="Normal"/>
    <w:link w:val="FootnoteTextChar"/>
    <w:uiPriority w:val="99"/>
    <w:semiHidden/>
    <w:unhideWhenUsed/>
    <w:rsid w:val="00CB7BC3"/>
    <w:rPr>
      <w:sz w:val="20"/>
      <w:szCs w:val="20"/>
    </w:rPr>
  </w:style>
  <w:style w:type="character" w:customStyle="1" w:styleId="FootnoteTextChar">
    <w:name w:val="Footnote Text Char"/>
    <w:basedOn w:val="DefaultParagraphFont"/>
    <w:link w:val="FootnoteText"/>
    <w:uiPriority w:val="99"/>
    <w:semiHidden/>
    <w:rsid w:val="00CB7BC3"/>
    <w:rPr>
      <w:sz w:val="20"/>
      <w:szCs w:val="20"/>
    </w:rPr>
  </w:style>
  <w:style w:type="character" w:styleId="FootnoteReference">
    <w:name w:val="footnote reference"/>
    <w:basedOn w:val="DefaultParagraphFont"/>
    <w:uiPriority w:val="99"/>
    <w:semiHidden/>
    <w:unhideWhenUsed/>
    <w:rsid w:val="00CB7BC3"/>
    <w:rPr>
      <w:vertAlign w:val="superscript"/>
    </w:rPr>
  </w:style>
  <w:style w:type="character" w:styleId="CommentReference">
    <w:name w:val="annotation reference"/>
    <w:basedOn w:val="DefaultParagraphFont"/>
    <w:uiPriority w:val="99"/>
    <w:semiHidden/>
    <w:unhideWhenUsed/>
    <w:rsid w:val="006A2FFC"/>
    <w:rPr>
      <w:sz w:val="16"/>
      <w:szCs w:val="16"/>
    </w:rPr>
  </w:style>
  <w:style w:type="paragraph" w:styleId="CommentText">
    <w:name w:val="annotation text"/>
    <w:basedOn w:val="Normal"/>
    <w:link w:val="CommentTextChar"/>
    <w:uiPriority w:val="99"/>
    <w:unhideWhenUsed/>
    <w:rsid w:val="006A2FFC"/>
    <w:rPr>
      <w:sz w:val="20"/>
      <w:szCs w:val="20"/>
    </w:rPr>
  </w:style>
  <w:style w:type="character" w:customStyle="1" w:styleId="CommentTextChar">
    <w:name w:val="Comment Text Char"/>
    <w:basedOn w:val="DefaultParagraphFont"/>
    <w:link w:val="CommentText"/>
    <w:uiPriority w:val="99"/>
    <w:rsid w:val="006A2FFC"/>
    <w:rPr>
      <w:sz w:val="20"/>
      <w:szCs w:val="20"/>
    </w:rPr>
  </w:style>
  <w:style w:type="paragraph" w:styleId="CommentSubject">
    <w:name w:val="annotation subject"/>
    <w:basedOn w:val="CommentText"/>
    <w:next w:val="CommentText"/>
    <w:link w:val="CommentSubjectChar"/>
    <w:uiPriority w:val="99"/>
    <w:semiHidden/>
    <w:unhideWhenUsed/>
    <w:rsid w:val="006A2FFC"/>
    <w:rPr>
      <w:b/>
      <w:bCs/>
    </w:rPr>
  </w:style>
  <w:style w:type="character" w:customStyle="1" w:styleId="CommentSubjectChar">
    <w:name w:val="Comment Subject Char"/>
    <w:basedOn w:val="CommentTextChar"/>
    <w:link w:val="CommentSubject"/>
    <w:uiPriority w:val="99"/>
    <w:semiHidden/>
    <w:rsid w:val="006A2FFC"/>
    <w:rPr>
      <w:b/>
      <w:bCs/>
      <w:sz w:val="20"/>
      <w:szCs w:val="20"/>
    </w:rPr>
  </w:style>
  <w:style w:type="table" w:styleId="TableGrid">
    <w:name w:val="Table Grid"/>
    <w:basedOn w:val="TableNormal"/>
    <w:uiPriority w:val="39"/>
    <w:rsid w:val="00F80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4E1ED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4E1ED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4E1ED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D5BED"/>
    <w:rPr>
      <w:color w:val="79172C" w:themeColor="accent1" w:themeShade="BF"/>
    </w:rPr>
    <w:tblPr>
      <w:tblStyleRowBandSize w:val="1"/>
      <w:tblStyleColBandSize w:val="1"/>
      <w:tblBorders>
        <w:top w:val="single" w:sz="4" w:space="0" w:color="A21F3C" w:themeColor="accent1"/>
        <w:bottom w:val="single" w:sz="4" w:space="0" w:color="A21F3C" w:themeColor="accent1"/>
      </w:tblBorders>
    </w:tblPr>
    <w:tblStylePr w:type="firstRow">
      <w:rPr>
        <w:b/>
        <w:bCs/>
      </w:rPr>
      <w:tblPr/>
      <w:tcPr>
        <w:tcBorders>
          <w:bottom w:val="single" w:sz="4" w:space="0" w:color="A21F3C" w:themeColor="accent1"/>
        </w:tcBorders>
      </w:tcPr>
    </w:tblStylePr>
    <w:tblStylePr w:type="lastRow">
      <w:rPr>
        <w:b/>
        <w:bCs/>
      </w:rPr>
      <w:tblPr/>
      <w:tcPr>
        <w:tcBorders>
          <w:top w:val="double" w:sz="4" w:space="0" w:color="A21F3C" w:themeColor="accent1"/>
        </w:tcBorders>
      </w:tcPr>
    </w:tblStylePr>
    <w:tblStylePr w:type="firstCol">
      <w:rPr>
        <w:b/>
        <w:bCs/>
      </w:rPr>
    </w:tblStylePr>
    <w:tblStylePr w:type="lastCol">
      <w:rPr>
        <w:b/>
        <w:bCs/>
      </w:rPr>
    </w:tblStylePr>
    <w:tblStylePr w:type="band1Vert">
      <w:tblPr/>
      <w:tcPr>
        <w:shd w:val="clear" w:color="auto" w:fill="F4C9D3" w:themeFill="accent1" w:themeFillTint="33"/>
      </w:tcPr>
    </w:tblStylePr>
    <w:tblStylePr w:type="band1Horz">
      <w:tblPr/>
      <w:tcPr>
        <w:shd w:val="clear" w:color="auto" w:fill="F4C9D3" w:themeFill="accent1" w:themeFillTint="33"/>
      </w:tcPr>
    </w:tblStylePr>
  </w:style>
  <w:style w:type="table" w:styleId="GridTable7Colorful-Accent1">
    <w:name w:val="Grid Table 7 Colorful Accent 1"/>
    <w:basedOn w:val="TableNormal"/>
    <w:uiPriority w:val="52"/>
    <w:rsid w:val="00DD5BED"/>
    <w:rPr>
      <w:color w:val="79172C" w:themeColor="accent1" w:themeShade="BF"/>
    </w:rPr>
    <w:tblPr>
      <w:tblStyleRowBandSize w:val="1"/>
      <w:tblStyleColBandSize w:val="1"/>
      <w:tblBorders>
        <w:top w:val="single" w:sz="4" w:space="0" w:color="E05F7B" w:themeColor="accent1" w:themeTint="99"/>
        <w:left w:val="single" w:sz="4" w:space="0" w:color="E05F7B" w:themeColor="accent1" w:themeTint="99"/>
        <w:bottom w:val="single" w:sz="4" w:space="0" w:color="E05F7B" w:themeColor="accent1" w:themeTint="99"/>
        <w:right w:val="single" w:sz="4" w:space="0" w:color="E05F7B" w:themeColor="accent1" w:themeTint="99"/>
        <w:insideH w:val="single" w:sz="4" w:space="0" w:color="E05F7B" w:themeColor="accent1" w:themeTint="99"/>
        <w:insideV w:val="single" w:sz="4" w:space="0" w:color="E05F7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9D3" w:themeFill="accent1" w:themeFillTint="33"/>
      </w:tcPr>
    </w:tblStylePr>
    <w:tblStylePr w:type="band1Horz">
      <w:tblPr/>
      <w:tcPr>
        <w:shd w:val="clear" w:color="auto" w:fill="F4C9D3" w:themeFill="accent1" w:themeFillTint="33"/>
      </w:tcPr>
    </w:tblStylePr>
    <w:tblStylePr w:type="neCell">
      <w:tblPr/>
      <w:tcPr>
        <w:tcBorders>
          <w:bottom w:val="single" w:sz="4" w:space="0" w:color="E05F7B" w:themeColor="accent1" w:themeTint="99"/>
        </w:tcBorders>
      </w:tcPr>
    </w:tblStylePr>
    <w:tblStylePr w:type="nwCell">
      <w:tblPr/>
      <w:tcPr>
        <w:tcBorders>
          <w:bottom w:val="single" w:sz="4" w:space="0" w:color="E05F7B" w:themeColor="accent1" w:themeTint="99"/>
        </w:tcBorders>
      </w:tcPr>
    </w:tblStylePr>
    <w:tblStylePr w:type="seCell">
      <w:tblPr/>
      <w:tcPr>
        <w:tcBorders>
          <w:top w:val="single" w:sz="4" w:space="0" w:color="E05F7B" w:themeColor="accent1" w:themeTint="99"/>
        </w:tcBorders>
      </w:tcPr>
    </w:tblStylePr>
    <w:tblStylePr w:type="swCell">
      <w:tblPr/>
      <w:tcPr>
        <w:tcBorders>
          <w:top w:val="single" w:sz="4" w:space="0" w:color="E05F7B" w:themeColor="accent1" w:themeTint="99"/>
        </w:tcBorders>
      </w:tcPr>
    </w:tblStylePr>
  </w:style>
  <w:style w:type="table" w:styleId="GridTable7Colorful">
    <w:name w:val="Grid Table 7 Colorful"/>
    <w:basedOn w:val="TableNormal"/>
    <w:uiPriority w:val="52"/>
    <w:rsid w:val="00401A4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Quote">
    <w:name w:val="Quote"/>
    <w:basedOn w:val="Normal"/>
    <w:next w:val="Normal"/>
    <w:link w:val="QuoteChar"/>
    <w:uiPriority w:val="29"/>
    <w:qFormat/>
    <w:rsid w:val="003208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084D"/>
    <w:rPr>
      <w:i/>
      <w:iCs/>
      <w:color w:val="404040" w:themeColor="text1" w:themeTint="BF"/>
    </w:rPr>
  </w:style>
  <w:style w:type="character" w:styleId="FollowedHyperlink">
    <w:name w:val="FollowedHyperlink"/>
    <w:basedOn w:val="DefaultParagraphFont"/>
    <w:uiPriority w:val="99"/>
    <w:semiHidden/>
    <w:unhideWhenUsed/>
    <w:rsid w:val="00235DD2"/>
    <w:rPr>
      <w:color w:val="954F72" w:themeColor="followedHyperlink"/>
      <w:u w:val="single"/>
    </w:rPr>
  </w:style>
  <w:style w:type="character" w:customStyle="1" w:styleId="ListParagraphChar">
    <w:name w:val="List Paragraph Char"/>
    <w:aliases w:val="F5 List Paragraph Char,List Paragraph1 Char"/>
    <w:link w:val="ListParagraph"/>
    <w:uiPriority w:val="34"/>
    <w:locked/>
    <w:rsid w:val="00235DD2"/>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35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triboroughmusichub.org/about-us/strategic-review-202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nsandbrook.com/leadership-musical-progres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g\Documents\Custom%20Office%20Templates\Music%20Mark%20HSP.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7468BB-4CA6-44FB-8E66-DDE77D9B9408}" type="doc">
      <dgm:prSet loTypeId="urn:microsoft.com/office/officeart/2011/layout/HexagonRadial" loCatId="cycle" qsTypeId="urn:microsoft.com/office/officeart/2005/8/quickstyle/simple1" qsCatId="simple" csTypeId="urn:microsoft.com/office/officeart/2005/8/colors/accent0_1" csCatId="mainScheme" phldr="1"/>
      <dgm:spPr/>
      <dgm:t>
        <a:bodyPr/>
        <a:lstStyle/>
        <a:p>
          <a:endParaRPr lang="en-GB"/>
        </a:p>
      </dgm:t>
    </dgm:pt>
    <dgm:pt modelId="{941C4722-E345-4124-9221-D64F42E8B269}">
      <dgm:prSet phldrT="[Text]" custT="1"/>
      <dgm:spPr>
        <a:ln>
          <a:solidFill>
            <a:schemeClr val="accent1"/>
          </a:solidFill>
        </a:ln>
      </dgm:spPr>
      <dgm:t>
        <a:bodyPr/>
        <a:lstStyle/>
        <a:p>
          <a:pPr algn="ctr"/>
          <a:r>
            <a:rPr lang="en-GB" sz="1400" b="1">
              <a:solidFill>
                <a:schemeClr val="accent1"/>
              </a:solidFill>
              <a:latin typeface="Arial" panose="020B0604020202020204" pitchFamily="34" charset="0"/>
              <a:cs typeface="Arial" panose="020B0604020202020204" pitchFamily="34" charset="0"/>
            </a:rPr>
            <a:t>Progression Strategy</a:t>
          </a:r>
        </a:p>
      </dgm:t>
    </dgm:pt>
    <dgm:pt modelId="{222EC583-DA40-4380-BEF5-BA3E0D79E78E}" type="parTrans" cxnId="{9C328E7A-0E4E-41F5-9F4D-E23F401577C3}">
      <dgm:prSet/>
      <dgm:spPr/>
      <dgm:t>
        <a:bodyPr/>
        <a:lstStyle/>
        <a:p>
          <a:pPr algn="ctr"/>
          <a:endParaRPr lang="en-GB">
            <a:latin typeface="Arial" panose="020B0604020202020204" pitchFamily="34" charset="0"/>
            <a:cs typeface="Arial" panose="020B0604020202020204" pitchFamily="34" charset="0"/>
          </a:endParaRPr>
        </a:p>
      </dgm:t>
    </dgm:pt>
    <dgm:pt modelId="{0B121DC8-6353-4715-B5A9-D2C5C5E024B8}" type="sibTrans" cxnId="{9C328E7A-0E4E-41F5-9F4D-E23F401577C3}">
      <dgm:prSet/>
      <dgm:spPr/>
      <dgm:t>
        <a:bodyPr/>
        <a:lstStyle/>
        <a:p>
          <a:pPr algn="ctr"/>
          <a:endParaRPr lang="en-GB">
            <a:latin typeface="Arial" panose="020B0604020202020204" pitchFamily="34" charset="0"/>
            <a:cs typeface="Arial" panose="020B0604020202020204" pitchFamily="34" charset="0"/>
          </a:endParaRPr>
        </a:p>
      </dgm:t>
    </dgm:pt>
    <dgm:pt modelId="{90618821-3D30-4185-A74A-D2937E78519A}">
      <dgm:prSet phldrT="[Text]"/>
      <dgm:spPr/>
      <dgm:t>
        <a:bodyPr/>
        <a:lstStyle/>
        <a:p>
          <a:pPr algn="ctr"/>
          <a:r>
            <a:rPr lang="en-GB">
              <a:latin typeface="Arial" panose="020B0604020202020204" pitchFamily="34" charset="0"/>
              <a:cs typeface="Arial" panose="020B0604020202020204" pitchFamily="34" charset="0"/>
            </a:rPr>
            <a:t>Programme of Activity</a:t>
          </a:r>
        </a:p>
      </dgm:t>
    </dgm:pt>
    <dgm:pt modelId="{A6DEA28D-4FD3-412D-BA52-DD1E4253EB1D}" type="parTrans" cxnId="{4A123B69-8235-4A39-BEC0-A45CEF09908C}">
      <dgm:prSet/>
      <dgm:spPr/>
      <dgm:t>
        <a:bodyPr/>
        <a:lstStyle/>
        <a:p>
          <a:pPr algn="ctr"/>
          <a:endParaRPr lang="en-GB">
            <a:latin typeface="Arial" panose="020B0604020202020204" pitchFamily="34" charset="0"/>
            <a:cs typeface="Arial" panose="020B0604020202020204" pitchFamily="34" charset="0"/>
          </a:endParaRPr>
        </a:p>
      </dgm:t>
    </dgm:pt>
    <dgm:pt modelId="{C9B76C83-D06B-4323-B7D5-3CE453DB5577}" type="sibTrans" cxnId="{4A123B69-8235-4A39-BEC0-A45CEF09908C}">
      <dgm:prSet/>
      <dgm:spPr/>
      <dgm:t>
        <a:bodyPr/>
        <a:lstStyle/>
        <a:p>
          <a:pPr algn="ctr"/>
          <a:endParaRPr lang="en-GB">
            <a:latin typeface="Arial" panose="020B0604020202020204" pitchFamily="34" charset="0"/>
            <a:cs typeface="Arial" panose="020B0604020202020204" pitchFamily="34" charset="0"/>
          </a:endParaRPr>
        </a:p>
      </dgm:t>
    </dgm:pt>
    <dgm:pt modelId="{025E0598-25F9-45A1-B686-0F0DBE756E33}">
      <dgm:prSet phldrT="[Text]"/>
      <dgm:spPr/>
      <dgm:t>
        <a:bodyPr/>
        <a:lstStyle/>
        <a:p>
          <a:pPr algn="ctr"/>
          <a:r>
            <a:rPr lang="en-GB">
              <a:latin typeface="Arial" panose="020B0604020202020204" pitchFamily="34" charset="0"/>
              <a:cs typeface="Arial" panose="020B0604020202020204" pitchFamily="34" charset="0"/>
            </a:rPr>
            <a:t>Comms Strategy</a:t>
          </a:r>
        </a:p>
      </dgm:t>
    </dgm:pt>
    <dgm:pt modelId="{7471066A-FA98-4302-8763-C12F5D6C01E3}" type="parTrans" cxnId="{95269CAB-C06F-4A48-B56C-85A96D421DF2}">
      <dgm:prSet/>
      <dgm:spPr/>
      <dgm:t>
        <a:bodyPr/>
        <a:lstStyle/>
        <a:p>
          <a:pPr algn="ctr"/>
          <a:endParaRPr lang="en-GB">
            <a:latin typeface="Arial" panose="020B0604020202020204" pitchFamily="34" charset="0"/>
            <a:cs typeface="Arial" panose="020B0604020202020204" pitchFamily="34" charset="0"/>
          </a:endParaRPr>
        </a:p>
      </dgm:t>
    </dgm:pt>
    <dgm:pt modelId="{72AE3E0D-5B53-420F-AE33-4BD7AD62FB03}" type="sibTrans" cxnId="{95269CAB-C06F-4A48-B56C-85A96D421DF2}">
      <dgm:prSet/>
      <dgm:spPr/>
      <dgm:t>
        <a:bodyPr/>
        <a:lstStyle/>
        <a:p>
          <a:pPr algn="ctr"/>
          <a:endParaRPr lang="en-GB">
            <a:latin typeface="Arial" panose="020B0604020202020204" pitchFamily="34" charset="0"/>
            <a:cs typeface="Arial" panose="020B0604020202020204" pitchFamily="34" charset="0"/>
          </a:endParaRPr>
        </a:p>
      </dgm:t>
    </dgm:pt>
    <dgm:pt modelId="{661831BF-4B86-4C5E-A554-88D3365ACBAC}">
      <dgm:prSet phldrT="[Text]"/>
      <dgm:spPr/>
      <dgm:t>
        <a:bodyPr/>
        <a:lstStyle/>
        <a:p>
          <a:pPr algn="ctr"/>
          <a:r>
            <a:rPr lang="en-GB">
              <a:latin typeface="Arial" panose="020B0604020202020204" pitchFamily="34" charset="0"/>
              <a:cs typeface="Arial" panose="020B0604020202020204" pitchFamily="34" charset="0"/>
            </a:rPr>
            <a:t>Instrument Stock &amp; Resources</a:t>
          </a:r>
        </a:p>
      </dgm:t>
    </dgm:pt>
    <dgm:pt modelId="{ED271BA8-1078-4ABF-83BD-84A01F2E9DB1}" type="parTrans" cxnId="{277EFCF8-1A43-4C5D-8D6D-F19B26B54680}">
      <dgm:prSet/>
      <dgm:spPr/>
      <dgm:t>
        <a:bodyPr/>
        <a:lstStyle/>
        <a:p>
          <a:pPr algn="ctr"/>
          <a:endParaRPr lang="en-GB">
            <a:latin typeface="Arial" panose="020B0604020202020204" pitchFamily="34" charset="0"/>
            <a:cs typeface="Arial" panose="020B0604020202020204" pitchFamily="34" charset="0"/>
          </a:endParaRPr>
        </a:p>
      </dgm:t>
    </dgm:pt>
    <dgm:pt modelId="{6A5B8D8A-EA6E-4EB0-BAE2-9E4925E8F84D}" type="sibTrans" cxnId="{277EFCF8-1A43-4C5D-8D6D-F19B26B54680}">
      <dgm:prSet/>
      <dgm:spPr/>
      <dgm:t>
        <a:bodyPr/>
        <a:lstStyle/>
        <a:p>
          <a:pPr algn="ctr"/>
          <a:endParaRPr lang="en-GB">
            <a:latin typeface="Arial" panose="020B0604020202020204" pitchFamily="34" charset="0"/>
            <a:cs typeface="Arial" panose="020B0604020202020204" pitchFamily="34" charset="0"/>
          </a:endParaRPr>
        </a:p>
      </dgm:t>
    </dgm:pt>
    <dgm:pt modelId="{8AF31F94-9707-440F-A77D-68DF2E5AE11D}">
      <dgm:prSet phldrT="[Text]"/>
      <dgm:spPr/>
      <dgm:t>
        <a:bodyPr/>
        <a:lstStyle/>
        <a:p>
          <a:pPr algn="ctr"/>
          <a:r>
            <a:rPr lang="en-GB">
              <a:latin typeface="Arial" panose="020B0604020202020204" pitchFamily="34" charset="0"/>
              <a:cs typeface="Arial" panose="020B0604020202020204" pitchFamily="34" charset="0"/>
            </a:rPr>
            <a:t>Partners / Funders</a:t>
          </a:r>
        </a:p>
      </dgm:t>
    </dgm:pt>
    <dgm:pt modelId="{67CFF796-8AA1-4A92-B80D-B4A1ADC9FCCA}" type="parTrans" cxnId="{01786216-229A-42D8-90CD-88F8AAEF0051}">
      <dgm:prSet/>
      <dgm:spPr/>
      <dgm:t>
        <a:bodyPr/>
        <a:lstStyle/>
        <a:p>
          <a:pPr algn="ctr"/>
          <a:endParaRPr lang="en-GB">
            <a:latin typeface="Arial" panose="020B0604020202020204" pitchFamily="34" charset="0"/>
            <a:cs typeface="Arial" panose="020B0604020202020204" pitchFamily="34" charset="0"/>
          </a:endParaRPr>
        </a:p>
      </dgm:t>
    </dgm:pt>
    <dgm:pt modelId="{71B9E3C3-4611-4AEC-ADF9-9027ED96EA1E}" type="sibTrans" cxnId="{01786216-229A-42D8-90CD-88F8AAEF0051}">
      <dgm:prSet/>
      <dgm:spPr/>
      <dgm:t>
        <a:bodyPr/>
        <a:lstStyle/>
        <a:p>
          <a:pPr algn="ctr"/>
          <a:endParaRPr lang="en-GB">
            <a:latin typeface="Arial" panose="020B0604020202020204" pitchFamily="34" charset="0"/>
            <a:cs typeface="Arial" panose="020B0604020202020204" pitchFamily="34" charset="0"/>
          </a:endParaRPr>
        </a:p>
      </dgm:t>
    </dgm:pt>
    <dgm:pt modelId="{04558BAF-C734-4ABB-B432-5B433A4176D4}">
      <dgm:prSet phldrT="[Text]"/>
      <dgm:spPr/>
      <dgm:t>
        <a:bodyPr/>
        <a:lstStyle/>
        <a:p>
          <a:pPr algn="ctr"/>
          <a:r>
            <a:rPr lang="en-GB">
              <a:latin typeface="Arial" panose="020B0604020202020204" pitchFamily="34" charset="0"/>
              <a:cs typeface="Arial" panose="020B0604020202020204" pitchFamily="34" charset="0"/>
            </a:rPr>
            <a:t>Schools / Families</a:t>
          </a:r>
        </a:p>
      </dgm:t>
    </dgm:pt>
    <dgm:pt modelId="{31BD5400-1E42-48B2-83F1-0D2F88D44E41}" type="sibTrans" cxnId="{07529502-F7C2-40F9-96FF-EEEE0FBFF1DC}">
      <dgm:prSet/>
      <dgm:spPr/>
      <dgm:t>
        <a:bodyPr/>
        <a:lstStyle/>
        <a:p>
          <a:pPr algn="ctr"/>
          <a:endParaRPr lang="en-GB">
            <a:latin typeface="Arial" panose="020B0604020202020204" pitchFamily="34" charset="0"/>
            <a:cs typeface="Arial" panose="020B0604020202020204" pitchFamily="34" charset="0"/>
          </a:endParaRPr>
        </a:p>
      </dgm:t>
    </dgm:pt>
    <dgm:pt modelId="{C734DB4C-C7FD-40E0-A3BC-3ACDC7A35C68}" type="parTrans" cxnId="{07529502-F7C2-40F9-96FF-EEEE0FBFF1DC}">
      <dgm:prSet/>
      <dgm:spPr/>
      <dgm:t>
        <a:bodyPr/>
        <a:lstStyle/>
        <a:p>
          <a:pPr algn="ctr"/>
          <a:endParaRPr lang="en-GB">
            <a:latin typeface="Arial" panose="020B0604020202020204" pitchFamily="34" charset="0"/>
            <a:cs typeface="Arial" panose="020B0604020202020204" pitchFamily="34" charset="0"/>
          </a:endParaRPr>
        </a:p>
      </dgm:t>
    </dgm:pt>
    <dgm:pt modelId="{4EBA49C1-15B9-4928-A334-72EE3A88D846}">
      <dgm:prSet phldrT="[Text]"/>
      <dgm:spPr/>
      <dgm:t>
        <a:bodyPr/>
        <a:lstStyle/>
        <a:p>
          <a:pPr algn="ctr"/>
          <a:r>
            <a:rPr lang="en-GB">
              <a:latin typeface="Arial" panose="020B0604020202020204" pitchFamily="34" charset="0"/>
              <a:cs typeface="Arial" panose="020B0604020202020204" pitchFamily="34" charset="0"/>
            </a:rPr>
            <a:t>Inclusion Strategy</a:t>
          </a:r>
        </a:p>
      </dgm:t>
    </dgm:pt>
    <dgm:pt modelId="{EAF342BB-82B7-4DCC-B200-D18AA8F2455D}" type="parTrans" cxnId="{6803C217-C17A-4277-9D9E-23F611E7A7FD}">
      <dgm:prSet/>
      <dgm:spPr/>
      <dgm:t>
        <a:bodyPr/>
        <a:lstStyle/>
        <a:p>
          <a:pPr algn="ctr"/>
          <a:endParaRPr lang="en-GB">
            <a:latin typeface="Arial" panose="020B0604020202020204" pitchFamily="34" charset="0"/>
            <a:cs typeface="Arial" panose="020B0604020202020204" pitchFamily="34" charset="0"/>
          </a:endParaRPr>
        </a:p>
      </dgm:t>
    </dgm:pt>
    <dgm:pt modelId="{C7202C29-0C97-490F-8429-5F9153D6B7ED}" type="sibTrans" cxnId="{6803C217-C17A-4277-9D9E-23F611E7A7FD}">
      <dgm:prSet/>
      <dgm:spPr/>
      <dgm:t>
        <a:bodyPr/>
        <a:lstStyle/>
        <a:p>
          <a:pPr algn="ctr"/>
          <a:endParaRPr lang="en-GB">
            <a:latin typeface="Arial" panose="020B0604020202020204" pitchFamily="34" charset="0"/>
            <a:cs typeface="Arial" panose="020B0604020202020204" pitchFamily="34" charset="0"/>
          </a:endParaRPr>
        </a:p>
      </dgm:t>
    </dgm:pt>
    <dgm:pt modelId="{45227DB7-AC5B-4FE9-B2B2-7454246845F9}" type="pres">
      <dgm:prSet presAssocID="{F47468BB-4CA6-44FB-8E66-DDE77D9B9408}" presName="Name0" presStyleCnt="0">
        <dgm:presLayoutVars>
          <dgm:chMax val="1"/>
          <dgm:chPref val="1"/>
          <dgm:dir/>
          <dgm:animOne val="branch"/>
          <dgm:animLvl val="lvl"/>
        </dgm:presLayoutVars>
      </dgm:prSet>
      <dgm:spPr/>
    </dgm:pt>
    <dgm:pt modelId="{B9231E3D-D492-4B21-99AC-50E0C6A3D44B}" type="pres">
      <dgm:prSet presAssocID="{941C4722-E345-4124-9221-D64F42E8B269}" presName="Parent" presStyleLbl="node0" presStyleIdx="0" presStyleCnt="1">
        <dgm:presLayoutVars>
          <dgm:chMax val="6"/>
          <dgm:chPref val="6"/>
        </dgm:presLayoutVars>
      </dgm:prSet>
      <dgm:spPr/>
    </dgm:pt>
    <dgm:pt modelId="{CDF8369C-8A74-4512-ADDA-BD1C15DC11B1}" type="pres">
      <dgm:prSet presAssocID="{90618821-3D30-4185-A74A-D2937E78519A}" presName="Accent1" presStyleCnt="0"/>
      <dgm:spPr/>
    </dgm:pt>
    <dgm:pt modelId="{3D40DD0C-758D-4D7D-94D4-3B5AB9D8EDA0}" type="pres">
      <dgm:prSet presAssocID="{90618821-3D30-4185-A74A-D2937E78519A}" presName="Accent" presStyleLbl="bgShp" presStyleIdx="0" presStyleCnt="6"/>
      <dgm:spPr/>
    </dgm:pt>
    <dgm:pt modelId="{36F934C3-6A72-4368-B7B9-EA37F70836AC}" type="pres">
      <dgm:prSet presAssocID="{90618821-3D30-4185-A74A-D2937E78519A}" presName="Child1" presStyleLbl="node1" presStyleIdx="0" presStyleCnt="6">
        <dgm:presLayoutVars>
          <dgm:chMax val="0"/>
          <dgm:chPref val="0"/>
          <dgm:bulletEnabled val="1"/>
        </dgm:presLayoutVars>
      </dgm:prSet>
      <dgm:spPr/>
    </dgm:pt>
    <dgm:pt modelId="{E30BF89F-3F74-40E0-8D7C-11A0E68AAD10}" type="pres">
      <dgm:prSet presAssocID="{025E0598-25F9-45A1-B686-0F0DBE756E33}" presName="Accent2" presStyleCnt="0"/>
      <dgm:spPr/>
    </dgm:pt>
    <dgm:pt modelId="{4BB9BC09-E50B-4B0C-A744-B978CD595549}" type="pres">
      <dgm:prSet presAssocID="{025E0598-25F9-45A1-B686-0F0DBE756E33}" presName="Accent" presStyleLbl="bgShp" presStyleIdx="1" presStyleCnt="6"/>
      <dgm:spPr>
        <a:noFill/>
      </dgm:spPr>
    </dgm:pt>
    <dgm:pt modelId="{4282184D-AA60-4F70-A881-C10D20F63BA7}" type="pres">
      <dgm:prSet presAssocID="{025E0598-25F9-45A1-B686-0F0DBE756E33}" presName="Child2" presStyleLbl="node1" presStyleIdx="1" presStyleCnt="6">
        <dgm:presLayoutVars>
          <dgm:chMax val="0"/>
          <dgm:chPref val="0"/>
          <dgm:bulletEnabled val="1"/>
        </dgm:presLayoutVars>
      </dgm:prSet>
      <dgm:spPr/>
    </dgm:pt>
    <dgm:pt modelId="{3EDAE2CE-6247-435C-8270-333D696CF237}" type="pres">
      <dgm:prSet presAssocID="{04558BAF-C734-4ABB-B432-5B433A4176D4}" presName="Accent3" presStyleCnt="0"/>
      <dgm:spPr/>
    </dgm:pt>
    <dgm:pt modelId="{9896EDA3-55EB-4559-9802-9D6D6F002407}" type="pres">
      <dgm:prSet presAssocID="{04558BAF-C734-4ABB-B432-5B433A4176D4}" presName="Accent" presStyleLbl="bgShp" presStyleIdx="2" presStyleCnt="6"/>
      <dgm:spPr>
        <a:noFill/>
      </dgm:spPr>
    </dgm:pt>
    <dgm:pt modelId="{B0FDDF62-69F9-40BC-851B-C175F2987CE5}" type="pres">
      <dgm:prSet presAssocID="{04558BAF-C734-4ABB-B432-5B433A4176D4}" presName="Child3" presStyleLbl="node1" presStyleIdx="2" presStyleCnt="6">
        <dgm:presLayoutVars>
          <dgm:chMax val="0"/>
          <dgm:chPref val="0"/>
          <dgm:bulletEnabled val="1"/>
        </dgm:presLayoutVars>
      </dgm:prSet>
      <dgm:spPr/>
    </dgm:pt>
    <dgm:pt modelId="{E2ACFD03-D4C2-427B-B7C6-B5692D4AA1BB}" type="pres">
      <dgm:prSet presAssocID="{661831BF-4B86-4C5E-A554-88D3365ACBAC}" presName="Accent4" presStyleCnt="0"/>
      <dgm:spPr/>
    </dgm:pt>
    <dgm:pt modelId="{2B02AD77-4E6C-46A3-94F9-B494AA2D89A7}" type="pres">
      <dgm:prSet presAssocID="{661831BF-4B86-4C5E-A554-88D3365ACBAC}" presName="Accent" presStyleLbl="bgShp" presStyleIdx="3" presStyleCnt="6"/>
      <dgm:spPr>
        <a:noFill/>
      </dgm:spPr>
    </dgm:pt>
    <dgm:pt modelId="{5BB183E6-1AFA-4BC1-8C5D-5560299CE5AF}" type="pres">
      <dgm:prSet presAssocID="{661831BF-4B86-4C5E-A554-88D3365ACBAC}" presName="Child4" presStyleLbl="node1" presStyleIdx="3" presStyleCnt="6">
        <dgm:presLayoutVars>
          <dgm:chMax val="0"/>
          <dgm:chPref val="0"/>
          <dgm:bulletEnabled val="1"/>
        </dgm:presLayoutVars>
      </dgm:prSet>
      <dgm:spPr/>
    </dgm:pt>
    <dgm:pt modelId="{55754589-0EAA-4BE6-98DC-9DCE977AC9DF}" type="pres">
      <dgm:prSet presAssocID="{8AF31F94-9707-440F-A77D-68DF2E5AE11D}" presName="Accent5" presStyleCnt="0"/>
      <dgm:spPr/>
    </dgm:pt>
    <dgm:pt modelId="{3604838B-C547-44B0-A781-0D5B716D0115}" type="pres">
      <dgm:prSet presAssocID="{8AF31F94-9707-440F-A77D-68DF2E5AE11D}" presName="Accent" presStyleLbl="bgShp" presStyleIdx="4" presStyleCnt="6"/>
      <dgm:spPr>
        <a:noFill/>
      </dgm:spPr>
    </dgm:pt>
    <dgm:pt modelId="{84FE0E5F-0C4F-478D-B402-D33DEA4AEAC2}" type="pres">
      <dgm:prSet presAssocID="{8AF31F94-9707-440F-A77D-68DF2E5AE11D}" presName="Child5" presStyleLbl="node1" presStyleIdx="4" presStyleCnt="6">
        <dgm:presLayoutVars>
          <dgm:chMax val="0"/>
          <dgm:chPref val="0"/>
          <dgm:bulletEnabled val="1"/>
        </dgm:presLayoutVars>
      </dgm:prSet>
      <dgm:spPr/>
    </dgm:pt>
    <dgm:pt modelId="{A6A08976-FF67-4D6C-8FD1-9C8892B05E1F}" type="pres">
      <dgm:prSet presAssocID="{4EBA49C1-15B9-4928-A334-72EE3A88D846}" presName="Accent6" presStyleCnt="0"/>
      <dgm:spPr/>
    </dgm:pt>
    <dgm:pt modelId="{37DE3E2A-8558-4F3D-9BCB-60D313E15828}" type="pres">
      <dgm:prSet presAssocID="{4EBA49C1-15B9-4928-A334-72EE3A88D846}" presName="Accent" presStyleLbl="bgShp" presStyleIdx="5" presStyleCnt="6"/>
      <dgm:spPr>
        <a:noFill/>
      </dgm:spPr>
    </dgm:pt>
    <dgm:pt modelId="{F9630C48-6A77-4C58-B06D-53A7328C42E7}" type="pres">
      <dgm:prSet presAssocID="{4EBA49C1-15B9-4928-A334-72EE3A88D846}" presName="Child6" presStyleLbl="node1" presStyleIdx="5" presStyleCnt="6">
        <dgm:presLayoutVars>
          <dgm:chMax val="0"/>
          <dgm:chPref val="0"/>
          <dgm:bulletEnabled val="1"/>
        </dgm:presLayoutVars>
      </dgm:prSet>
      <dgm:spPr/>
    </dgm:pt>
  </dgm:ptLst>
  <dgm:cxnLst>
    <dgm:cxn modelId="{07529502-F7C2-40F9-96FF-EEEE0FBFF1DC}" srcId="{941C4722-E345-4124-9221-D64F42E8B269}" destId="{04558BAF-C734-4ABB-B432-5B433A4176D4}" srcOrd="2" destOrd="0" parTransId="{C734DB4C-C7FD-40E0-A3BC-3ACDC7A35C68}" sibTransId="{31BD5400-1E42-48B2-83F1-0D2F88D44E41}"/>
    <dgm:cxn modelId="{B6C56A05-F57D-4506-AC84-60F99AA6D298}" type="presOf" srcId="{4EBA49C1-15B9-4928-A334-72EE3A88D846}" destId="{F9630C48-6A77-4C58-B06D-53A7328C42E7}" srcOrd="0" destOrd="0" presId="urn:microsoft.com/office/officeart/2011/layout/HexagonRadial"/>
    <dgm:cxn modelId="{01786216-229A-42D8-90CD-88F8AAEF0051}" srcId="{941C4722-E345-4124-9221-D64F42E8B269}" destId="{8AF31F94-9707-440F-A77D-68DF2E5AE11D}" srcOrd="4" destOrd="0" parTransId="{67CFF796-8AA1-4A92-B80D-B4A1ADC9FCCA}" sibTransId="{71B9E3C3-4611-4AEC-ADF9-9027ED96EA1E}"/>
    <dgm:cxn modelId="{6803C217-C17A-4277-9D9E-23F611E7A7FD}" srcId="{941C4722-E345-4124-9221-D64F42E8B269}" destId="{4EBA49C1-15B9-4928-A334-72EE3A88D846}" srcOrd="5" destOrd="0" parTransId="{EAF342BB-82B7-4DCC-B200-D18AA8F2455D}" sibTransId="{C7202C29-0C97-490F-8429-5F9153D6B7ED}"/>
    <dgm:cxn modelId="{1E892D19-B83E-4CE8-82DB-7A4FBA6B3CC0}" type="presOf" srcId="{661831BF-4B86-4C5E-A554-88D3365ACBAC}" destId="{5BB183E6-1AFA-4BC1-8C5D-5560299CE5AF}" srcOrd="0" destOrd="0" presId="urn:microsoft.com/office/officeart/2011/layout/HexagonRadial"/>
    <dgm:cxn modelId="{4438E534-8EB0-435C-BD85-DA0EB5FD7FCF}" type="presOf" srcId="{F47468BB-4CA6-44FB-8E66-DDE77D9B9408}" destId="{45227DB7-AC5B-4FE9-B2B2-7454246845F9}" srcOrd="0" destOrd="0" presId="urn:microsoft.com/office/officeart/2011/layout/HexagonRadial"/>
    <dgm:cxn modelId="{4A123B69-8235-4A39-BEC0-A45CEF09908C}" srcId="{941C4722-E345-4124-9221-D64F42E8B269}" destId="{90618821-3D30-4185-A74A-D2937E78519A}" srcOrd="0" destOrd="0" parTransId="{A6DEA28D-4FD3-412D-BA52-DD1E4253EB1D}" sibTransId="{C9B76C83-D06B-4323-B7D5-3CE453DB5577}"/>
    <dgm:cxn modelId="{9C328E7A-0E4E-41F5-9F4D-E23F401577C3}" srcId="{F47468BB-4CA6-44FB-8E66-DDE77D9B9408}" destId="{941C4722-E345-4124-9221-D64F42E8B269}" srcOrd="0" destOrd="0" parTransId="{222EC583-DA40-4380-BEF5-BA3E0D79E78E}" sibTransId="{0B121DC8-6353-4715-B5A9-D2C5C5E024B8}"/>
    <dgm:cxn modelId="{4389699E-2932-44BF-93C8-7934C0C0D640}" type="presOf" srcId="{941C4722-E345-4124-9221-D64F42E8B269}" destId="{B9231E3D-D492-4B21-99AC-50E0C6A3D44B}" srcOrd="0" destOrd="0" presId="urn:microsoft.com/office/officeart/2011/layout/HexagonRadial"/>
    <dgm:cxn modelId="{95269CAB-C06F-4A48-B56C-85A96D421DF2}" srcId="{941C4722-E345-4124-9221-D64F42E8B269}" destId="{025E0598-25F9-45A1-B686-0F0DBE756E33}" srcOrd="1" destOrd="0" parTransId="{7471066A-FA98-4302-8763-C12F5D6C01E3}" sibTransId="{72AE3E0D-5B53-420F-AE33-4BD7AD62FB03}"/>
    <dgm:cxn modelId="{BFC3BCE8-131B-42C8-8BC9-BF1F3B8C3201}" type="presOf" srcId="{8AF31F94-9707-440F-A77D-68DF2E5AE11D}" destId="{84FE0E5F-0C4F-478D-B402-D33DEA4AEAC2}" srcOrd="0" destOrd="0" presId="urn:microsoft.com/office/officeart/2011/layout/HexagonRadial"/>
    <dgm:cxn modelId="{7898CBE9-4CEE-40B3-AAF1-DF660F987796}" type="presOf" srcId="{025E0598-25F9-45A1-B686-0F0DBE756E33}" destId="{4282184D-AA60-4F70-A881-C10D20F63BA7}" srcOrd="0" destOrd="0" presId="urn:microsoft.com/office/officeart/2011/layout/HexagonRadial"/>
    <dgm:cxn modelId="{01DA1FEB-8A8C-465F-8166-11CD8DD079DE}" type="presOf" srcId="{04558BAF-C734-4ABB-B432-5B433A4176D4}" destId="{B0FDDF62-69F9-40BC-851B-C175F2987CE5}" srcOrd="0" destOrd="0" presId="urn:microsoft.com/office/officeart/2011/layout/HexagonRadial"/>
    <dgm:cxn modelId="{801D7AF8-66CF-4C40-B5E5-9706DC4D3EFD}" type="presOf" srcId="{90618821-3D30-4185-A74A-D2937E78519A}" destId="{36F934C3-6A72-4368-B7B9-EA37F70836AC}" srcOrd="0" destOrd="0" presId="urn:microsoft.com/office/officeart/2011/layout/HexagonRadial"/>
    <dgm:cxn modelId="{277EFCF8-1A43-4C5D-8D6D-F19B26B54680}" srcId="{941C4722-E345-4124-9221-D64F42E8B269}" destId="{661831BF-4B86-4C5E-A554-88D3365ACBAC}" srcOrd="3" destOrd="0" parTransId="{ED271BA8-1078-4ABF-83BD-84A01F2E9DB1}" sibTransId="{6A5B8D8A-EA6E-4EB0-BAE2-9E4925E8F84D}"/>
    <dgm:cxn modelId="{E0D7B16A-1CF0-4B90-B420-31277BDDE466}" type="presParOf" srcId="{45227DB7-AC5B-4FE9-B2B2-7454246845F9}" destId="{B9231E3D-D492-4B21-99AC-50E0C6A3D44B}" srcOrd="0" destOrd="0" presId="urn:microsoft.com/office/officeart/2011/layout/HexagonRadial"/>
    <dgm:cxn modelId="{AB809E18-604F-42C1-B018-8BFD7704C753}" type="presParOf" srcId="{45227DB7-AC5B-4FE9-B2B2-7454246845F9}" destId="{CDF8369C-8A74-4512-ADDA-BD1C15DC11B1}" srcOrd="1" destOrd="0" presId="urn:microsoft.com/office/officeart/2011/layout/HexagonRadial"/>
    <dgm:cxn modelId="{FAC0CB0E-3009-4DE9-9CAC-60325CCD0D54}" type="presParOf" srcId="{CDF8369C-8A74-4512-ADDA-BD1C15DC11B1}" destId="{3D40DD0C-758D-4D7D-94D4-3B5AB9D8EDA0}" srcOrd="0" destOrd="0" presId="urn:microsoft.com/office/officeart/2011/layout/HexagonRadial"/>
    <dgm:cxn modelId="{199FE3C2-637B-4EAF-9124-AE31064BF64C}" type="presParOf" srcId="{45227DB7-AC5B-4FE9-B2B2-7454246845F9}" destId="{36F934C3-6A72-4368-B7B9-EA37F70836AC}" srcOrd="2" destOrd="0" presId="urn:microsoft.com/office/officeart/2011/layout/HexagonRadial"/>
    <dgm:cxn modelId="{61592555-67C4-44AE-A66F-1E92FB40C5D9}" type="presParOf" srcId="{45227DB7-AC5B-4FE9-B2B2-7454246845F9}" destId="{E30BF89F-3F74-40E0-8D7C-11A0E68AAD10}" srcOrd="3" destOrd="0" presId="urn:microsoft.com/office/officeart/2011/layout/HexagonRadial"/>
    <dgm:cxn modelId="{0C34ED83-1B71-4033-8A29-A84CC9D55541}" type="presParOf" srcId="{E30BF89F-3F74-40E0-8D7C-11A0E68AAD10}" destId="{4BB9BC09-E50B-4B0C-A744-B978CD595549}" srcOrd="0" destOrd="0" presId="urn:microsoft.com/office/officeart/2011/layout/HexagonRadial"/>
    <dgm:cxn modelId="{0ECB8C0B-F861-48AD-8FDE-D1E06F66CCC7}" type="presParOf" srcId="{45227DB7-AC5B-4FE9-B2B2-7454246845F9}" destId="{4282184D-AA60-4F70-A881-C10D20F63BA7}" srcOrd="4" destOrd="0" presId="urn:microsoft.com/office/officeart/2011/layout/HexagonRadial"/>
    <dgm:cxn modelId="{3F9FD1B7-3059-4390-948C-5D47ACC0C1D4}" type="presParOf" srcId="{45227DB7-AC5B-4FE9-B2B2-7454246845F9}" destId="{3EDAE2CE-6247-435C-8270-333D696CF237}" srcOrd="5" destOrd="0" presId="urn:microsoft.com/office/officeart/2011/layout/HexagonRadial"/>
    <dgm:cxn modelId="{0B998861-BA86-46EA-B349-194421051B57}" type="presParOf" srcId="{3EDAE2CE-6247-435C-8270-333D696CF237}" destId="{9896EDA3-55EB-4559-9802-9D6D6F002407}" srcOrd="0" destOrd="0" presId="urn:microsoft.com/office/officeart/2011/layout/HexagonRadial"/>
    <dgm:cxn modelId="{3EB83C1F-D1FD-4A71-AABF-BCD742F8196F}" type="presParOf" srcId="{45227DB7-AC5B-4FE9-B2B2-7454246845F9}" destId="{B0FDDF62-69F9-40BC-851B-C175F2987CE5}" srcOrd="6" destOrd="0" presId="urn:microsoft.com/office/officeart/2011/layout/HexagonRadial"/>
    <dgm:cxn modelId="{3E7C835C-64DA-40A7-B486-5471D46FF4E5}" type="presParOf" srcId="{45227DB7-AC5B-4FE9-B2B2-7454246845F9}" destId="{E2ACFD03-D4C2-427B-B7C6-B5692D4AA1BB}" srcOrd="7" destOrd="0" presId="urn:microsoft.com/office/officeart/2011/layout/HexagonRadial"/>
    <dgm:cxn modelId="{E51E1288-BF7D-4E06-9563-78AC35262D92}" type="presParOf" srcId="{E2ACFD03-D4C2-427B-B7C6-B5692D4AA1BB}" destId="{2B02AD77-4E6C-46A3-94F9-B494AA2D89A7}" srcOrd="0" destOrd="0" presId="urn:microsoft.com/office/officeart/2011/layout/HexagonRadial"/>
    <dgm:cxn modelId="{805E0260-4E3B-4916-90C3-2E8BF5828691}" type="presParOf" srcId="{45227DB7-AC5B-4FE9-B2B2-7454246845F9}" destId="{5BB183E6-1AFA-4BC1-8C5D-5560299CE5AF}" srcOrd="8" destOrd="0" presId="urn:microsoft.com/office/officeart/2011/layout/HexagonRadial"/>
    <dgm:cxn modelId="{3E44A77A-08B4-4D9F-BDFD-72FC31762482}" type="presParOf" srcId="{45227DB7-AC5B-4FE9-B2B2-7454246845F9}" destId="{55754589-0EAA-4BE6-98DC-9DCE977AC9DF}" srcOrd="9" destOrd="0" presId="urn:microsoft.com/office/officeart/2011/layout/HexagonRadial"/>
    <dgm:cxn modelId="{96753109-ED19-4E5C-89CB-8364414DB0E8}" type="presParOf" srcId="{55754589-0EAA-4BE6-98DC-9DCE977AC9DF}" destId="{3604838B-C547-44B0-A781-0D5B716D0115}" srcOrd="0" destOrd="0" presId="urn:microsoft.com/office/officeart/2011/layout/HexagonRadial"/>
    <dgm:cxn modelId="{381EFC6F-9D2F-473A-836F-450BF2D3B6A0}" type="presParOf" srcId="{45227DB7-AC5B-4FE9-B2B2-7454246845F9}" destId="{84FE0E5F-0C4F-478D-B402-D33DEA4AEAC2}" srcOrd="10" destOrd="0" presId="urn:microsoft.com/office/officeart/2011/layout/HexagonRadial"/>
    <dgm:cxn modelId="{5289BE4F-3D14-4BDB-87D1-27BF7FD0809E}" type="presParOf" srcId="{45227DB7-AC5B-4FE9-B2B2-7454246845F9}" destId="{A6A08976-FF67-4D6C-8FD1-9C8892B05E1F}" srcOrd="11" destOrd="0" presId="urn:microsoft.com/office/officeart/2011/layout/HexagonRadial"/>
    <dgm:cxn modelId="{558143F3-1873-4811-8816-E58D5BC99A1F}" type="presParOf" srcId="{A6A08976-FF67-4D6C-8FD1-9C8892B05E1F}" destId="{37DE3E2A-8558-4F3D-9BCB-60D313E15828}" srcOrd="0" destOrd="0" presId="urn:microsoft.com/office/officeart/2011/layout/HexagonRadial"/>
    <dgm:cxn modelId="{9FA47374-07EA-476A-BC48-C6B7E668F331}" type="presParOf" srcId="{45227DB7-AC5B-4FE9-B2B2-7454246845F9}" destId="{F9630C48-6A77-4C58-B06D-53A7328C42E7}" srcOrd="12" destOrd="0" presId="urn:microsoft.com/office/officeart/2011/layout/HexagonRadial"/>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231E3D-D492-4B21-99AC-50E0C6A3D44B}">
      <dsp:nvSpPr>
        <dsp:cNvPr id="0" name=""/>
        <dsp:cNvSpPr/>
      </dsp:nvSpPr>
      <dsp:spPr>
        <a:xfrm>
          <a:off x="1791352" y="1292609"/>
          <a:ext cx="1642963" cy="1421229"/>
        </a:xfrm>
        <a:prstGeom prst="hexagon">
          <a:avLst>
            <a:gd name="adj" fmla="val 28570"/>
            <a:gd name="vf" fmla="val 115470"/>
          </a:avLst>
        </a:prstGeom>
        <a:solidFill>
          <a:schemeClr val="lt1">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1"/>
              </a:solidFill>
              <a:latin typeface="Arial" panose="020B0604020202020204" pitchFamily="34" charset="0"/>
              <a:cs typeface="Arial" panose="020B0604020202020204" pitchFamily="34" charset="0"/>
            </a:rPr>
            <a:t>Progression Strategy</a:t>
          </a:r>
        </a:p>
      </dsp:txBody>
      <dsp:txXfrm>
        <a:off x="2063614" y="1528127"/>
        <a:ext cx="1098439" cy="950193"/>
      </dsp:txXfrm>
    </dsp:sp>
    <dsp:sp modelId="{4BB9BC09-E50B-4B0C-A744-B978CD595549}">
      <dsp:nvSpPr>
        <dsp:cNvPr id="0" name=""/>
        <dsp:cNvSpPr/>
      </dsp:nvSpPr>
      <dsp:spPr>
        <a:xfrm>
          <a:off x="2820162" y="612647"/>
          <a:ext cx="619885" cy="534113"/>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36F934C3-6A72-4368-B7B9-EA37F70836AC}">
      <dsp:nvSpPr>
        <dsp:cNvPr id="0" name=""/>
        <dsp:cNvSpPr/>
      </dsp:nvSpPr>
      <dsp:spPr>
        <a:xfrm>
          <a:off x="1942692" y="0"/>
          <a:ext cx="1346396" cy="116479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latin typeface="Arial" panose="020B0604020202020204" pitchFamily="34" charset="0"/>
              <a:cs typeface="Arial" panose="020B0604020202020204" pitchFamily="34" charset="0"/>
            </a:rPr>
            <a:t>Programme of Activity</a:t>
          </a:r>
        </a:p>
      </dsp:txBody>
      <dsp:txXfrm>
        <a:off x="2165819" y="193031"/>
        <a:ext cx="900142" cy="778729"/>
      </dsp:txXfrm>
    </dsp:sp>
    <dsp:sp modelId="{9896EDA3-55EB-4559-9802-9D6D6F002407}">
      <dsp:nvSpPr>
        <dsp:cNvPr id="0" name=""/>
        <dsp:cNvSpPr/>
      </dsp:nvSpPr>
      <dsp:spPr>
        <a:xfrm>
          <a:off x="3543617" y="1611154"/>
          <a:ext cx="619885" cy="534113"/>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282184D-AA60-4F70-A881-C10D20F63BA7}">
      <dsp:nvSpPr>
        <dsp:cNvPr id="0" name=""/>
        <dsp:cNvSpPr/>
      </dsp:nvSpPr>
      <dsp:spPr>
        <a:xfrm>
          <a:off x="3177495" y="716424"/>
          <a:ext cx="1346396" cy="116479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latin typeface="Arial" panose="020B0604020202020204" pitchFamily="34" charset="0"/>
              <a:cs typeface="Arial" panose="020B0604020202020204" pitchFamily="34" charset="0"/>
            </a:rPr>
            <a:t>Comms Strategy</a:t>
          </a:r>
        </a:p>
      </dsp:txBody>
      <dsp:txXfrm>
        <a:off x="3400622" y="909455"/>
        <a:ext cx="900142" cy="778729"/>
      </dsp:txXfrm>
    </dsp:sp>
    <dsp:sp modelId="{2B02AD77-4E6C-46A3-94F9-B494AA2D89A7}">
      <dsp:nvSpPr>
        <dsp:cNvPr id="0" name=""/>
        <dsp:cNvSpPr/>
      </dsp:nvSpPr>
      <dsp:spPr>
        <a:xfrm>
          <a:off x="3041059" y="2738281"/>
          <a:ext cx="619885" cy="534113"/>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B0FDDF62-69F9-40BC-851B-C175F2987CE5}">
      <dsp:nvSpPr>
        <dsp:cNvPr id="0" name=""/>
        <dsp:cNvSpPr/>
      </dsp:nvSpPr>
      <dsp:spPr>
        <a:xfrm>
          <a:off x="3177495" y="2124832"/>
          <a:ext cx="1346396" cy="116479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latin typeface="Arial" panose="020B0604020202020204" pitchFamily="34" charset="0"/>
              <a:cs typeface="Arial" panose="020B0604020202020204" pitchFamily="34" charset="0"/>
            </a:rPr>
            <a:t>Schools / Families</a:t>
          </a:r>
        </a:p>
      </dsp:txBody>
      <dsp:txXfrm>
        <a:off x="3400622" y="2317863"/>
        <a:ext cx="900142" cy="778729"/>
      </dsp:txXfrm>
    </dsp:sp>
    <dsp:sp modelId="{3604838B-C547-44B0-A781-0D5B716D0115}">
      <dsp:nvSpPr>
        <dsp:cNvPr id="0" name=""/>
        <dsp:cNvSpPr/>
      </dsp:nvSpPr>
      <dsp:spPr>
        <a:xfrm>
          <a:off x="1794409" y="2855281"/>
          <a:ext cx="619885" cy="534113"/>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5BB183E6-1AFA-4BC1-8C5D-5560299CE5AF}">
      <dsp:nvSpPr>
        <dsp:cNvPr id="0" name=""/>
        <dsp:cNvSpPr/>
      </dsp:nvSpPr>
      <dsp:spPr>
        <a:xfrm>
          <a:off x="1942692" y="2842058"/>
          <a:ext cx="1346396" cy="116479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latin typeface="Arial" panose="020B0604020202020204" pitchFamily="34" charset="0"/>
              <a:cs typeface="Arial" panose="020B0604020202020204" pitchFamily="34" charset="0"/>
            </a:rPr>
            <a:t>Instrument Stock &amp; Resources</a:t>
          </a:r>
        </a:p>
      </dsp:txBody>
      <dsp:txXfrm>
        <a:off x="2165819" y="3035089"/>
        <a:ext cx="900142" cy="778729"/>
      </dsp:txXfrm>
    </dsp:sp>
    <dsp:sp modelId="{37DE3E2A-8558-4F3D-9BCB-60D313E15828}">
      <dsp:nvSpPr>
        <dsp:cNvPr id="0" name=""/>
        <dsp:cNvSpPr/>
      </dsp:nvSpPr>
      <dsp:spPr>
        <a:xfrm>
          <a:off x="1059108" y="1857174"/>
          <a:ext cx="619885" cy="534113"/>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4FE0E5F-0C4F-478D-B402-D33DEA4AEAC2}">
      <dsp:nvSpPr>
        <dsp:cNvPr id="0" name=""/>
        <dsp:cNvSpPr/>
      </dsp:nvSpPr>
      <dsp:spPr>
        <a:xfrm>
          <a:off x="702158" y="2125633"/>
          <a:ext cx="1346396" cy="116479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latin typeface="Arial" panose="020B0604020202020204" pitchFamily="34" charset="0"/>
              <a:cs typeface="Arial" panose="020B0604020202020204" pitchFamily="34" charset="0"/>
            </a:rPr>
            <a:t>Partners / Funders</a:t>
          </a:r>
        </a:p>
      </dsp:txBody>
      <dsp:txXfrm>
        <a:off x="925285" y="2318664"/>
        <a:ext cx="900142" cy="778729"/>
      </dsp:txXfrm>
    </dsp:sp>
    <dsp:sp modelId="{F9630C48-6A77-4C58-B06D-53A7328C42E7}">
      <dsp:nvSpPr>
        <dsp:cNvPr id="0" name=""/>
        <dsp:cNvSpPr/>
      </dsp:nvSpPr>
      <dsp:spPr>
        <a:xfrm>
          <a:off x="702158" y="714822"/>
          <a:ext cx="1346396" cy="116479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latin typeface="Arial" panose="020B0604020202020204" pitchFamily="34" charset="0"/>
              <a:cs typeface="Arial" panose="020B0604020202020204" pitchFamily="34" charset="0"/>
            </a:rPr>
            <a:t>Inclusion Strategy</a:t>
          </a:r>
        </a:p>
      </dsp:txBody>
      <dsp:txXfrm>
        <a:off x="925285" y="907853"/>
        <a:ext cx="900142" cy="778729"/>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usic Mark">
      <a:dk1>
        <a:sysClr val="windowText" lastClr="000000"/>
      </a:dk1>
      <a:lt1>
        <a:sysClr val="window" lastClr="FFFFFF"/>
      </a:lt1>
      <a:dk2>
        <a:srgbClr val="44546A"/>
      </a:dk2>
      <a:lt2>
        <a:srgbClr val="E7E6E6"/>
      </a:lt2>
      <a:accent1>
        <a:srgbClr val="A21F3C"/>
      </a:accent1>
      <a:accent2>
        <a:srgbClr val="FBCD54"/>
      </a:accent2>
      <a:accent3>
        <a:srgbClr val="0563C1"/>
      </a:accent3>
      <a:accent4>
        <a:srgbClr val="A5A5A5"/>
      </a:accent4>
      <a:accent5>
        <a:srgbClr val="5B9BD5"/>
      </a:accent5>
      <a:accent6>
        <a:srgbClr val="FFC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5" ma:contentTypeDescription="Create a new document." ma:contentTypeScope="" ma:versionID="558b9f61d68ce3657a2fb526e4a0d325">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6200d17e611ca1656168746cfe3655a5"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59157-4935-40D3-8518-57FBE32E3F97}">
  <ds:schemaRefs>
    <ds:schemaRef ds:uri="6d37cb36-1778-4416-9f74-8394a42ef6b0"/>
    <ds:schemaRef ds:uri="04adfadb-9cd7-4d52-9a02-7d16238c1ec5"/>
    <ds:schemaRef ds:uri="http://schemas.microsoft.com/office/2006/metadata/properties"/>
    <ds:schemaRef ds:uri="http://schemas.microsoft.com/office/infopath/2007/PartnerControls"/>
    <ds:schemaRef ds:uri="d202d31c-686c-4115-a7b9-5cc891ed602b"/>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C659262D-60F2-4ACE-8FE4-E10AE13276A7}">
  <ds:schemaRefs>
    <ds:schemaRef ds:uri="http://schemas.openxmlformats.org/officeDocument/2006/bibliography"/>
  </ds:schemaRefs>
</ds:datastoreItem>
</file>

<file path=customXml/itemProps3.xml><?xml version="1.0" encoding="utf-8"?>
<ds:datastoreItem xmlns:ds="http://schemas.openxmlformats.org/officeDocument/2006/customXml" ds:itemID="{8534D891-3E06-41CE-A5FC-1F8202BE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078F7-E9B7-458A-97F7-FF4CA0BEF4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Music Mark HSP</Template>
  <TotalTime>0</TotalTime>
  <Pages>6</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Griffiths</dc:creator>
  <cp:keywords/>
  <dc:description/>
  <cp:lastModifiedBy>Whatmore, Stuart: RBKC</cp:lastModifiedBy>
  <cp:revision>2</cp:revision>
  <dcterms:created xsi:type="dcterms:W3CDTF">2023-11-24T11:46:00Z</dcterms:created>
  <dcterms:modified xsi:type="dcterms:W3CDTF">2023-11-24T11:46:00Z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