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CB26" w14:textId="69C4FE90" w:rsidR="005379B2" w:rsidRPr="00A3182A" w:rsidRDefault="00F25B04" w:rsidP="00F25B04">
      <w:pPr>
        <w:pStyle w:val="Heading1"/>
        <w:spacing w:before="0" w:after="0" w:line="240" w:lineRule="auto"/>
        <w:rPr>
          <w:rFonts w:ascii="Arial" w:hAnsi="Arial" w:cs="Arial"/>
          <w:sz w:val="22"/>
        </w:rPr>
      </w:pPr>
      <w:r w:rsidRPr="00A3182A">
        <w:rPr>
          <w:rFonts w:ascii="Arial" w:hAnsi="Arial" w:cs="Arial"/>
          <w:sz w:val="36"/>
        </w:rPr>
        <w:t>Tri-borough Music Hub</w:t>
      </w:r>
    </w:p>
    <w:p w14:paraId="285A2AC7" w14:textId="1F61E08D" w:rsidR="005379B2" w:rsidRPr="00F25B04" w:rsidRDefault="005379B2" w:rsidP="00F25B04">
      <w:pPr>
        <w:pStyle w:val="Heading1"/>
        <w:spacing w:before="0" w:after="0" w:line="240" w:lineRule="auto"/>
        <w:rPr>
          <w:rFonts w:ascii="Arial" w:hAnsi="Arial" w:cs="Arial"/>
          <w:sz w:val="24"/>
        </w:rPr>
      </w:pPr>
      <w:bookmarkStart w:id="0" w:name="_Toc26279649"/>
      <w:r w:rsidRPr="00F25B04">
        <w:rPr>
          <w:rFonts w:ascii="Arial" w:hAnsi="Arial" w:cs="Arial"/>
          <w:sz w:val="24"/>
        </w:rPr>
        <w:t>Who we are</w:t>
      </w:r>
      <w:bookmarkEnd w:id="0"/>
      <w:r w:rsidR="00025DE1">
        <w:rPr>
          <w:rFonts w:ascii="Arial" w:hAnsi="Arial" w:cs="Arial"/>
          <w:sz w:val="24"/>
        </w:rPr>
        <w:t xml:space="preserve">: </w:t>
      </w:r>
    </w:p>
    <w:p w14:paraId="61B25694" w14:textId="77777777" w:rsidR="00063F77" w:rsidRPr="00886836" w:rsidRDefault="00AD3A76" w:rsidP="00886836">
      <w:pPr>
        <w:contextualSpacing/>
        <w:rPr>
          <w:rFonts w:ascii="Arial" w:hAnsi="Arial" w:cs="Arial"/>
          <w:sz w:val="22"/>
          <w:szCs w:val="22"/>
        </w:rPr>
      </w:pPr>
      <w:r w:rsidRPr="00886836">
        <w:rPr>
          <w:rFonts w:ascii="Arial" w:hAnsi="Arial" w:cs="Arial"/>
          <w:sz w:val="22"/>
          <w:szCs w:val="22"/>
        </w:rPr>
        <w:t xml:space="preserve">The </w:t>
      </w:r>
      <w:hyperlink r:id="rId10" w:history="1">
        <w:r w:rsidR="00645BA4" w:rsidRPr="00886836">
          <w:rPr>
            <w:rStyle w:val="Hyperlink"/>
            <w:rFonts w:ascii="Arial" w:hAnsi="Arial" w:cs="Arial"/>
            <w:sz w:val="22"/>
            <w:szCs w:val="22"/>
          </w:rPr>
          <w:t>Tri-borough Music Hub</w:t>
        </w:r>
      </w:hyperlink>
      <w:r w:rsidR="00645BA4" w:rsidRPr="00886836">
        <w:rPr>
          <w:rFonts w:ascii="Arial" w:hAnsi="Arial" w:cs="Arial"/>
          <w:sz w:val="22"/>
          <w:szCs w:val="22"/>
        </w:rPr>
        <w:t xml:space="preserve"> (TBMH) is the award-winning </w:t>
      </w:r>
      <w:r w:rsidR="005E2247" w:rsidRPr="00886836">
        <w:rPr>
          <w:rFonts w:ascii="Arial" w:hAnsi="Arial" w:cs="Arial"/>
          <w:sz w:val="22"/>
          <w:szCs w:val="22"/>
        </w:rPr>
        <w:t xml:space="preserve">lead </w:t>
      </w:r>
      <w:r w:rsidR="00645BA4" w:rsidRPr="00886836">
        <w:rPr>
          <w:rFonts w:ascii="Arial" w:hAnsi="Arial" w:cs="Arial"/>
          <w:sz w:val="22"/>
          <w:szCs w:val="22"/>
        </w:rPr>
        <w:t>organisation that oversees the delivery of music education in the three West London boroughs of Hammersmith and Fulham, Kensington and Chelsea, and the City of Westminster</w:t>
      </w:r>
      <w:r w:rsidR="00C9649C" w:rsidRPr="00886836">
        <w:rPr>
          <w:rFonts w:ascii="Arial" w:hAnsi="Arial" w:cs="Arial"/>
          <w:sz w:val="22"/>
          <w:szCs w:val="22"/>
        </w:rPr>
        <w:t xml:space="preserve">. </w:t>
      </w:r>
    </w:p>
    <w:p w14:paraId="35567B5B" w14:textId="41793B2E" w:rsidR="00063F77" w:rsidRPr="00886836" w:rsidRDefault="00063F77" w:rsidP="00886836">
      <w:pPr>
        <w:contextualSpacing/>
        <w:rPr>
          <w:rFonts w:ascii="Arial" w:hAnsi="Arial" w:cs="Arial"/>
          <w:sz w:val="22"/>
          <w:szCs w:val="22"/>
        </w:rPr>
      </w:pPr>
    </w:p>
    <w:p w14:paraId="4D31EC8A" w14:textId="79ED3002" w:rsidR="00063F77" w:rsidRPr="00886836" w:rsidRDefault="00063F77" w:rsidP="00886836">
      <w:pPr>
        <w:contextualSpacing/>
        <w:rPr>
          <w:rFonts w:ascii="Arial" w:hAnsi="Arial" w:cs="Arial"/>
          <w:sz w:val="22"/>
          <w:szCs w:val="22"/>
        </w:rPr>
      </w:pPr>
      <w:r w:rsidRPr="00886836">
        <w:rPr>
          <w:rFonts w:ascii="Arial" w:hAnsi="Arial" w:cs="Arial"/>
          <w:sz w:val="22"/>
          <w:szCs w:val="22"/>
        </w:rPr>
        <w:t xml:space="preserve">We work with schools, pupils, music educators and the community. </w:t>
      </w:r>
      <w:r w:rsidR="00100222" w:rsidRPr="00886836">
        <w:rPr>
          <w:rFonts w:ascii="Arial" w:hAnsi="Arial" w:cs="Arial"/>
          <w:sz w:val="22"/>
          <w:szCs w:val="22"/>
        </w:rPr>
        <w:t>We are a centralised Local Authority service which receives core funding from the Department for Education via Arts Council England. We operate a shared-services model across three Local Authorities to deliver an expansive programme of musical learning, in and out of school.</w:t>
      </w:r>
    </w:p>
    <w:p w14:paraId="0F4C5821" w14:textId="77777777" w:rsidR="00063F77" w:rsidRPr="00886836" w:rsidRDefault="00063F77" w:rsidP="00886836">
      <w:pPr>
        <w:rPr>
          <w:rFonts w:ascii="Arial" w:hAnsi="Arial" w:cs="Arial"/>
          <w:sz w:val="22"/>
          <w:szCs w:val="22"/>
        </w:rPr>
      </w:pPr>
    </w:p>
    <w:p w14:paraId="74D559DC" w14:textId="0EC15043" w:rsidR="005379B2" w:rsidRPr="00886836" w:rsidRDefault="00886836" w:rsidP="00886836">
      <w:pPr>
        <w:rPr>
          <w:rFonts w:ascii="Arial" w:hAnsi="Arial" w:cs="Arial"/>
          <w:sz w:val="22"/>
          <w:szCs w:val="22"/>
        </w:rPr>
      </w:pPr>
      <w:r w:rsidRPr="00886836">
        <w:rPr>
          <w:rFonts w:ascii="Arial" w:hAnsi="Arial" w:cs="Arial"/>
          <w:sz w:val="22"/>
          <w:szCs w:val="22"/>
        </w:rPr>
        <w:t xml:space="preserve">Alongside the three Local Authorities, the </w:t>
      </w:r>
      <w:r w:rsidR="00063F77" w:rsidRPr="00886836">
        <w:rPr>
          <w:rFonts w:ascii="Arial" w:hAnsi="Arial" w:cs="Arial"/>
          <w:sz w:val="22"/>
          <w:szCs w:val="22"/>
        </w:rPr>
        <w:t xml:space="preserve">TBMH Strategic Partners are the Royal Albert Hall and the Royal College of Music. In addition, a quality-assured group of delivery partner organisations work to meet the TBMH’s strategic aims and positively contribute to our stakeholders. </w:t>
      </w:r>
      <w:r w:rsidR="005379B2" w:rsidRPr="00886836">
        <w:rPr>
          <w:rFonts w:ascii="Arial" w:hAnsi="Arial" w:cs="Arial"/>
          <w:sz w:val="22"/>
          <w:szCs w:val="22"/>
        </w:rPr>
        <w:t>The TBMH is a music-specific service focused on high quality outcomes inclusive of all learners. It recognises the numerous benefits that music can bring to everyone from all backgrounds and in all circumstances.</w:t>
      </w:r>
      <w:r w:rsidR="00DD447F" w:rsidRPr="00886836">
        <w:rPr>
          <w:rStyle w:val="CommentTextChar"/>
          <w:rFonts w:ascii="Arial" w:hAnsi="Arial" w:cs="Arial"/>
          <w:color w:val="000000"/>
          <w:sz w:val="22"/>
          <w:szCs w:val="22"/>
          <w:shd w:val="clear" w:color="auto" w:fill="FFFFFF"/>
        </w:rPr>
        <w:t xml:space="preserve"> </w:t>
      </w:r>
      <w:r w:rsidR="00DD447F" w:rsidRPr="00886836">
        <w:rPr>
          <w:rStyle w:val="normaltextrun"/>
          <w:rFonts w:ascii="Arial" w:hAnsi="Arial" w:cs="Arial"/>
          <w:color w:val="000000"/>
          <w:sz w:val="22"/>
          <w:szCs w:val="22"/>
          <w:shd w:val="clear" w:color="auto" w:fill="FFFFFF"/>
        </w:rPr>
        <w:t>For more information about the work of the TBMH see annual reports </w:t>
      </w:r>
      <w:hyperlink r:id="rId11" w:history="1">
        <w:r w:rsidR="00DD447F" w:rsidRPr="00886836">
          <w:rPr>
            <w:rStyle w:val="Hyperlink"/>
            <w:rFonts w:ascii="Arial" w:hAnsi="Arial" w:cs="Arial"/>
            <w:sz w:val="22"/>
            <w:szCs w:val="22"/>
            <w:shd w:val="clear" w:color="auto" w:fill="FFFFFF"/>
          </w:rPr>
          <w:t>HERE</w:t>
        </w:r>
      </w:hyperlink>
      <w:r w:rsidR="00DD447F" w:rsidRPr="00886836">
        <w:rPr>
          <w:rStyle w:val="normaltextrun"/>
          <w:rFonts w:ascii="Arial" w:hAnsi="Arial" w:cs="Arial"/>
          <w:color w:val="000000"/>
          <w:sz w:val="22"/>
          <w:szCs w:val="22"/>
          <w:shd w:val="clear" w:color="auto" w:fill="FFFFFF"/>
        </w:rPr>
        <w:t>.</w:t>
      </w:r>
    </w:p>
    <w:p w14:paraId="5E741052" w14:textId="77777777" w:rsidR="00F25B04" w:rsidRPr="00A73D2D" w:rsidRDefault="00F25B04" w:rsidP="00F25B04">
      <w:pPr>
        <w:pStyle w:val="Heading1"/>
        <w:spacing w:before="0" w:after="0" w:line="240" w:lineRule="auto"/>
        <w:rPr>
          <w:rFonts w:ascii="Arial" w:hAnsi="Arial" w:cs="Arial"/>
          <w:sz w:val="6"/>
        </w:rPr>
      </w:pPr>
      <w:bookmarkStart w:id="1" w:name="_Toc4338199"/>
      <w:bookmarkStart w:id="2" w:name="_Toc26279650"/>
    </w:p>
    <w:p w14:paraId="22816172" w14:textId="77777777" w:rsidR="00DC7458" w:rsidRPr="00F25B04" w:rsidRDefault="00DC7458" w:rsidP="00DC7458">
      <w:pPr>
        <w:pStyle w:val="Heading1"/>
        <w:spacing w:before="0" w:after="0" w:line="240" w:lineRule="auto"/>
        <w:rPr>
          <w:rFonts w:ascii="Arial" w:hAnsi="Arial" w:cs="Arial"/>
          <w:sz w:val="24"/>
        </w:rPr>
      </w:pPr>
      <w:bookmarkStart w:id="3" w:name="_Toc26279651"/>
      <w:bookmarkStart w:id="4" w:name="_Toc4338200"/>
      <w:r w:rsidRPr="00F25B04">
        <w:rPr>
          <w:rFonts w:ascii="Arial" w:hAnsi="Arial" w:cs="Arial"/>
          <w:sz w:val="24"/>
        </w:rPr>
        <w:t>Vision</w:t>
      </w:r>
      <w:bookmarkEnd w:id="3"/>
      <w:r w:rsidRPr="00F25B04">
        <w:rPr>
          <w:rFonts w:ascii="Arial" w:hAnsi="Arial" w:cs="Arial"/>
          <w:sz w:val="24"/>
        </w:rPr>
        <w:t xml:space="preserve"> </w:t>
      </w:r>
      <w:bookmarkEnd w:id="4"/>
    </w:p>
    <w:p w14:paraId="12769C71" w14:textId="77777777" w:rsidR="004054D4" w:rsidRPr="00494B2F" w:rsidRDefault="004054D4" w:rsidP="004054D4">
      <w:pPr>
        <w:rPr>
          <w:rFonts w:ascii="Arial" w:hAnsi="Arial" w:cs="Arial"/>
          <w:sz w:val="22"/>
          <w:szCs w:val="18"/>
        </w:rPr>
      </w:pPr>
      <w:r w:rsidRPr="00494B2F">
        <w:rPr>
          <w:rFonts w:ascii="Arial" w:hAnsi="Arial" w:cs="Arial"/>
          <w:sz w:val="22"/>
          <w:szCs w:val="18"/>
        </w:rPr>
        <w:t xml:space="preserve">Our </w:t>
      </w:r>
      <w:r w:rsidRPr="00494B2F">
        <w:rPr>
          <w:rFonts w:ascii="Arial" w:hAnsi="Arial" w:cs="Arial"/>
          <w:b/>
          <w:bCs/>
          <w:sz w:val="22"/>
          <w:szCs w:val="18"/>
        </w:rPr>
        <w:t>vision</w:t>
      </w:r>
      <w:r w:rsidRPr="00494B2F">
        <w:rPr>
          <w:rFonts w:ascii="Arial" w:hAnsi="Arial" w:cs="Arial"/>
          <w:sz w:val="22"/>
          <w:szCs w:val="18"/>
        </w:rPr>
        <w:t xml:space="preserve"> is for every child or young person – whatever their age, ability, or life circumstances – to have their voice heard, to feel included, and to be able to access enriching and relatable musical experiences. </w:t>
      </w:r>
    </w:p>
    <w:p w14:paraId="67E5F2EB" w14:textId="77777777" w:rsidR="00DC7458" w:rsidRPr="00DC7458" w:rsidRDefault="00DC7458" w:rsidP="00DC7458">
      <w:pPr>
        <w:contextualSpacing/>
        <w:rPr>
          <w:rFonts w:ascii="Arial" w:hAnsi="Arial" w:cs="Arial"/>
          <w:sz w:val="10"/>
          <w:szCs w:val="10"/>
        </w:rPr>
      </w:pPr>
    </w:p>
    <w:p w14:paraId="73FA68B7" w14:textId="43F9BA7C" w:rsidR="005379B2" w:rsidRPr="00F25B04" w:rsidRDefault="005379B2" w:rsidP="00F25B04">
      <w:pPr>
        <w:pStyle w:val="Heading1"/>
        <w:spacing w:before="0" w:after="0" w:line="240" w:lineRule="auto"/>
        <w:rPr>
          <w:rFonts w:ascii="Arial" w:hAnsi="Arial" w:cs="Arial"/>
          <w:sz w:val="24"/>
        </w:rPr>
      </w:pPr>
      <w:r w:rsidRPr="00F25B04">
        <w:rPr>
          <w:rFonts w:ascii="Arial" w:hAnsi="Arial" w:cs="Arial"/>
          <w:sz w:val="24"/>
        </w:rPr>
        <w:t>Mission Statement</w:t>
      </w:r>
      <w:bookmarkEnd w:id="1"/>
      <w:bookmarkEnd w:id="2"/>
    </w:p>
    <w:p w14:paraId="30414E91" w14:textId="7CB3CAC9" w:rsidR="00971F24" w:rsidRPr="006D7453" w:rsidRDefault="00971F24" w:rsidP="00971F24">
      <w:pPr>
        <w:rPr>
          <w:rFonts w:ascii="Arial" w:hAnsi="Arial" w:cs="Arial"/>
          <w:sz w:val="22"/>
          <w:szCs w:val="18"/>
        </w:rPr>
      </w:pPr>
      <w:r w:rsidRPr="006D7453">
        <w:rPr>
          <w:rFonts w:ascii="Arial" w:hAnsi="Arial" w:cs="Arial"/>
          <w:sz w:val="22"/>
          <w:szCs w:val="18"/>
        </w:rPr>
        <w:t xml:space="preserve">Our </w:t>
      </w:r>
      <w:r w:rsidRPr="006D7453">
        <w:rPr>
          <w:rFonts w:ascii="Arial" w:hAnsi="Arial" w:cs="Arial"/>
          <w:b/>
          <w:bCs/>
          <w:sz w:val="22"/>
          <w:szCs w:val="18"/>
        </w:rPr>
        <w:t>mission</w:t>
      </w:r>
      <w:r w:rsidRPr="006D7453">
        <w:rPr>
          <w:rFonts w:ascii="Arial" w:hAnsi="Arial" w:cs="Arial"/>
          <w:sz w:val="22"/>
          <w:szCs w:val="18"/>
        </w:rPr>
        <w:t xml:space="preserve"> is to provide a broad range of progressive and inclusive musical pathways and opportunities for all Children and Young People to develop a life-long love of music and realise their musical potential whilst developing their personal and social identity. We aim to expose Children and Young People to a range of music that broaden horizons and provide holistic musical learning by making connections that support a sense of cultural identity and belonging in our community.</w:t>
      </w:r>
      <w:r>
        <w:rPr>
          <w:rFonts w:ascii="Arial" w:hAnsi="Arial" w:cs="Arial"/>
          <w:sz w:val="22"/>
          <w:szCs w:val="18"/>
        </w:rPr>
        <w:t xml:space="preserve"> </w:t>
      </w:r>
      <w:r w:rsidRPr="006D7453">
        <w:rPr>
          <w:rFonts w:ascii="Arial" w:hAnsi="Arial" w:cs="Arial"/>
          <w:sz w:val="22"/>
          <w:szCs w:val="18"/>
        </w:rPr>
        <w:t>We will work closely in partnership with outstanding music and education organisations that are committed to our ethos. Together we will strive to embed best-practice,</w:t>
      </w:r>
      <w:r w:rsidR="00A23668">
        <w:rPr>
          <w:rFonts w:ascii="Arial" w:hAnsi="Arial" w:cs="Arial"/>
          <w:sz w:val="22"/>
          <w:szCs w:val="18"/>
        </w:rPr>
        <w:t xml:space="preserve"> </w:t>
      </w:r>
      <w:r w:rsidRPr="006D7453">
        <w:rPr>
          <w:rFonts w:ascii="Arial" w:hAnsi="Arial" w:cs="Arial"/>
          <w:sz w:val="22"/>
          <w:szCs w:val="18"/>
        </w:rPr>
        <w:t>and implement visionary and effective models of partnership work to ensure comprehensive routes of engagement, opportunity, and progression for learners.</w:t>
      </w:r>
    </w:p>
    <w:p w14:paraId="03A2C0D0" w14:textId="77777777" w:rsidR="005379B2" w:rsidRPr="00A73D2D" w:rsidRDefault="005379B2" w:rsidP="00F25B04">
      <w:pPr>
        <w:rPr>
          <w:rFonts w:ascii="Arial" w:eastAsiaTheme="majorEastAsia" w:hAnsi="Arial" w:cs="Arial"/>
          <w:b/>
          <w:bCs/>
          <w:color w:val="2F5496" w:themeColor="accent1" w:themeShade="BF"/>
          <w:sz w:val="6"/>
          <w:szCs w:val="28"/>
        </w:rPr>
      </w:pPr>
    </w:p>
    <w:p w14:paraId="319342B3" w14:textId="77777777" w:rsidR="00F25B04" w:rsidRPr="00A73D2D" w:rsidRDefault="00F25B04" w:rsidP="00F25B04">
      <w:pPr>
        <w:pStyle w:val="Heading1"/>
        <w:spacing w:before="0" w:after="0" w:line="240" w:lineRule="auto"/>
        <w:rPr>
          <w:rFonts w:ascii="Arial" w:hAnsi="Arial" w:cs="Arial"/>
          <w:sz w:val="6"/>
        </w:rPr>
      </w:pPr>
      <w:bookmarkStart w:id="5" w:name="_Toc26279653"/>
      <w:bookmarkStart w:id="6" w:name="_Toc4338203"/>
    </w:p>
    <w:p w14:paraId="4451FE5E" w14:textId="77777777" w:rsidR="005F01F9" w:rsidRPr="00132EF7" w:rsidRDefault="005F01F9" w:rsidP="005F01F9">
      <w:pPr>
        <w:pStyle w:val="Heading1"/>
        <w:spacing w:before="0" w:after="0" w:line="240" w:lineRule="auto"/>
        <w:rPr>
          <w:rFonts w:ascii="Arial" w:hAnsi="Arial" w:cs="Arial"/>
          <w:sz w:val="24"/>
        </w:rPr>
      </w:pPr>
      <w:r w:rsidRPr="000F3725">
        <w:rPr>
          <w:rFonts w:ascii="Arial" w:hAnsi="Arial" w:cs="Arial"/>
          <w:sz w:val="24"/>
        </w:rPr>
        <w:t>Music Education for All </w:t>
      </w:r>
    </w:p>
    <w:p w14:paraId="1890CF5F" w14:textId="77777777" w:rsidR="004F639C" w:rsidRPr="004F639C" w:rsidRDefault="004F639C" w:rsidP="004F639C">
      <w:pPr>
        <w:pStyle w:val="paragraph"/>
        <w:spacing w:before="0" w:beforeAutospacing="0" w:after="0" w:afterAutospacing="0"/>
        <w:textAlignment w:val="baseline"/>
        <w:rPr>
          <w:rFonts w:ascii="Arial" w:eastAsiaTheme="minorHAnsi" w:hAnsi="Arial" w:cs="Arial"/>
          <w:sz w:val="22"/>
          <w:szCs w:val="22"/>
        </w:rPr>
      </w:pPr>
      <w:r w:rsidRPr="004F639C">
        <w:rPr>
          <w:rStyle w:val="normaltextrun"/>
          <w:rFonts w:ascii="Arial" w:hAnsi="Arial" w:cs="Arial"/>
          <w:sz w:val="22"/>
          <w:szCs w:val="22"/>
        </w:rPr>
        <w:t xml:space="preserve">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We strive to ensure that Children and young people's music is </w:t>
      </w:r>
      <w:r w:rsidRPr="004F639C">
        <w:rPr>
          <w:rStyle w:val="normaltextrun"/>
          <w:rFonts w:ascii="Arial" w:hAnsi="Arial" w:cs="Arial"/>
          <w:b/>
          <w:bCs/>
          <w:sz w:val="22"/>
          <w:szCs w:val="22"/>
        </w:rPr>
        <w:t>HEARD</w:t>
      </w:r>
      <w:r w:rsidRPr="004F639C">
        <w:rPr>
          <w:rStyle w:val="normaltextrun"/>
          <w:rFonts w:ascii="Arial" w:hAnsi="Arial" w:cs="Arial"/>
          <w:sz w:val="22"/>
          <w:szCs w:val="22"/>
        </w:rPr>
        <w:t>: </w:t>
      </w:r>
      <w:r w:rsidRPr="004F639C">
        <w:rPr>
          <w:rStyle w:val="eop"/>
          <w:rFonts w:ascii="Arial" w:hAnsi="Arial" w:cs="Arial"/>
          <w:sz w:val="22"/>
          <w:szCs w:val="22"/>
        </w:rPr>
        <w:t> </w:t>
      </w:r>
    </w:p>
    <w:p w14:paraId="06701FFF" w14:textId="46A5E45F" w:rsidR="004F639C" w:rsidRPr="004F639C" w:rsidRDefault="004F639C" w:rsidP="004F639C">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H</w:t>
      </w:r>
      <w:r w:rsidRPr="004F639C">
        <w:rPr>
          <w:rStyle w:val="normaltextrun"/>
          <w:rFonts w:ascii="Arial" w:hAnsi="Arial" w:cs="Arial"/>
          <w:b/>
          <w:bCs/>
          <w:sz w:val="22"/>
          <w:szCs w:val="22"/>
        </w:rPr>
        <w:t>olistic</w:t>
      </w:r>
      <w:r w:rsidRPr="004F639C">
        <w:rPr>
          <w:rStyle w:val="normaltextrun"/>
          <w:rFonts w:ascii="Arial" w:hAnsi="Arial" w:cs="Arial"/>
          <w:sz w:val="22"/>
          <w:szCs w:val="22"/>
        </w:rPr>
        <w:t xml:space="preserve"> - emphasis on personal, social</w:t>
      </w:r>
      <w:r w:rsidR="000D01D0">
        <w:rPr>
          <w:rStyle w:val="normaltextrun"/>
          <w:rFonts w:ascii="Arial" w:hAnsi="Arial" w:cs="Arial"/>
          <w:sz w:val="22"/>
          <w:szCs w:val="22"/>
        </w:rPr>
        <w:t>,</w:t>
      </w:r>
      <w:r w:rsidRPr="004F639C">
        <w:rPr>
          <w:rStyle w:val="normaltextrun"/>
          <w:rFonts w:ascii="Arial" w:hAnsi="Arial" w:cs="Arial"/>
          <w:sz w:val="22"/>
          <w:szCs w:val="22"/>
        </w:rPr>
        <w:t xml:space="preserve"> and musical outcomes. </w:t>
      </w:r>
      <w:r w:rsidRPr="004F639C">
        <w:rPr>
          <w:rStyle w:val="eop"/>
          <w:rFonts w:ascii="Arial" w:hAnsi="Arial" w:cs="Arial"/>
          <w:sz w:val="22"/>
          <w:szCs w:val="22"/>
        </w:rPr>
        <w:t> </w:t>
      </w:r>
    </w:p>
    <w:p w14:paraId="16881AC2" w14:textId="77777777" w:rsidR="004F639C" w:rsidRPr="004F639C" w:rsidRDefault="004F639C" w:rsidP="004F639C">
      <w:pPr>
        <w:pStyle w:val="paragraph"/>
        <w:numPr>
          <w:ilvl w:val="0"/>
          <w:numId w:val="19"/>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E</w:t>
      </w:r>
      <w:r w:rsidRPr="004F639C">
        <w:rPr>
          <w:rStyle w:val="normaltextrun"/>
          <w:rFonts w:ascii="Arial" w:hAnsi="Arial" w:cs="Arial"/>
          <w:b/>
          <w:bCs/>
          <w:sz w:val="22"/>
          <w:szCs w:val="22"/>
        </w:rPr>
        <w:t>quitable</w:t>
      </w:r>
      <w:r w:rsidRPr="004F639C">
        <w:rPr>
          <w:rStyle w:val="normaltextrun"/>
          <w:rFonts w:ascii="Arial" w:hAnsi="Arial" w:cs="Arial"/>
          <w:sz w:val="22"/>
          <w:szCs w:val="22"/>
        </w:rPr>
        <w:t xml:space="preserve"> - those facing the biggest barriers receive the most support. </w:t>
      </w:r>
      <w:r w:rsidRPr="004F639C">
        <w:rPr>
          <w:rStyle w:val="eop"/>
          <w:rFonts w:ascii="Arial" w:hAnsi="Arial" w:cs="Arial"/>
          <w:sz w:val="22"/>
          <w:szCs w:val="22"/>
        </w:rPr>
        <w:t> </w:t>
      </w:r>
    </w:p>
    <w:p w14:paraId="7E7742E3"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A</w:t>
      </w:r>
      <w:r w:rsidRPr="004F639C">
        <w:rPr>
          <w:rStyle w:val="normaltextrun"/>
          <w:rFonts w:ascii="Arial" w:hAnsi="Arial" w:cs="Arial"/>
          <w:b/>
          <w:bCs/>
          <w:sz w:val="22"/>
          <w:szCs w:val="22"/>
        </w:rPr>
        <w:t>uthentic</w:t>
      </w:r>
      <w:r w:rsidRPr="004F639C">
        <w:rPr>
          <w:rStyle w:val="normaltextrun"/>
          <w:rFonts w:ascii="Arial" w:hAnsi="Arial" w:cs="Arial"/>
          <w:sz w:val="22"/>
          <w:szCs w:val="22"/>
        </w:rPr>
        <w:t xml:space="preserve"> - developed with and informed by the people we do it for.   </w:t>
      </w:r>
      <w:r w:rsidRPr="004F639C">
        <w:rPr>
          <w:rStyle w:val="eop"/>
          <w:rFonts w:ascii="Arial" w:hAnsi="Arial" w:cs="Arial"/>
          <w:sz w:val="22"/>
          <w:szCs w:val="22"/>
        </w:rPr>
        <w:t> </w:t>
      </w:r>
    </w:p>
    <w:p w14:paraId="404E0A6E"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Fonts w:ascii="Arial" w:hAnsi="Arial" w:cs="Arial"/>
          <w:sz w:val="22"/>
          <w:szCs w:val="22"/>
        </w:rPr>
      </w:pPr>
      <w:r w:rsidRPr="004F639C">
        <w:rPr>
          <w:rStyle w:val="normaltextrun"/>
          <w:rFonts w:ascii="Arial" w:hAnsi="Arial" w:cs="Arial"/>
          <w:b/>
          <w:bCs/>
          <w:color w:val="96004B"/>
          <w:sz w:val="22"/>
          <w:szCs w:val="22"/>
        </w:rPr>
        <w:t>R</w:t>
      </w:r>
      <w:r w:rsidRPr="004F639C">
        <w:rPr>
          <w:rStyle w:val="normaltextrun"/>
          <w:rFonts w:ascii="Arial" w:hAnsi="Arial" w:cs="Arial"/>
          <w:b/>
          <w:bCs/>
          <w:sz w:val="22"/>
          <w:szCs w:val="22"/>
        </w:rPr>
        <w:t>epresentative</w:t>
      </w:r>
      <w:r w:rsidRPr="004F639C">
        <w:rPr>
          <w:rStyle w:val="normaltextrun"/>
          <w:rFonts w:ascii="Arial" w:hAnsi="Arial" w:cs="Arial"/>
          <w:sz w:val="22"/>
          <w:szCs w:val="22"/>
        </w:rPr>
        <w:t xml:space="preserve"> - participants and colleagues reflect our diverse society. </w:t>
      </w:r>
      <w:r w:rsidRPr="004F639C">
        <w:rPr>
          <w:rStyle w:val="eop"/>
          <w:rFonts w:ascii="Arial" w:hAnsi="Arial" w:cs="Arial"/>
          <w:sz w:val="22"/>
          <w:szCs w:val="22"/>
        </w:rPr>
        <w:t> </w:t>
      </w:r>
    </w:p>
    <w:p w14:paraId="0CF3037E" w14:textId="77777777" w:rsidR="004F639C" w:rsidRPr="004F639C" w:rsidRDefault="004F639C" w:rsidP="004F639C">
      <w:pPr>
        <w:pStyle w:val="paragraph"/>
        <w:numPr>
          <w:ilvl w:val="0"/>
          <w:numId w:val="20"/>
        </w:numPr>
        <w:spacing w:before="0" w:beforeAutospacing="0" w:after="0" w:afterAutospacing="0"/>
        <w:ind w:left="360" w:firstLine="0"/>
        <w:textAlignment w:val="baseline"/>
        <w:rPr>
          <w:rStyle w:val="eop"/>
          <w:rFonts w:ascii="Arial" w:hAnsi="Arial" w:cs="Arial"/>
          <w:sz w:val="22"/>
          <w:szCs w:val="22"/>
        </w:rPr>
      </w:pPr>
      <w:r w:rsidRPr="004F639C">
        <w:rPr>
          <w:rStyle w:val="normaltextrun"/>
          <w:rFonts w:ascii="Arial" w:hAnsi="Arial" w:cs="Arial"/>
          <w:b/>
          <w:bCs/>
          <w:color w:val="96004B"/>
          <w:sz w:val="22"/>
          <w:szCs w:val="22"/>
        </w:rPr>
        <w:t>D</w:t>
      </w:r>
      <w:r w:rsidRPr="004F639C">
        <w:rPr>
          <w:rStyle w:val="normaltextrun"/>
          <w:rFonts w:ascii="Arial" w:hAnsi="Arial" w:cs="Arial"/>
          <w:b/>
          <w:bCs/>
          <w:sz w:val="22"/>
          <w:szCs w:val="22"/>
        </w:rPr>
        <w:t>iverse</w:t>
      </w:r>
      <w:r w:rsidRPr="004F639C">
        <w:rPr>
          <w:rStyle w:val="normaltextrun"/>
          <w:rFonts w:ascii="Arial" w:hAnsi="Arial" w:cs="Arial"/>
          <w:sz w:val="22"/>
          <w:szCs w:val="22"/>
        </w:rPr>
        <w:t xml:space="preserve"> - all musical genres, styles, practices are valued equally.</w:t>
      </w:r>
      <w:r w:rsidRPr="004F639C">
        <w:rPr>
          <w:rStyle w:val="eop"/>
          <w:rFonts w:ascii="Arial" w:hAnsi="Arial" w:cs="Arial"/>
          <w:sz w:val="22"/>
          <w:szCs w:val="22"/>
        </w:rPr>
        <w:t> </w:t>
      </w:r>
      <w:bookmarkStart w:id="7" w:name="_Scope_of_our"/>
      <w:bookmarkEnd w:id="7"/>
    </w:p>
    <w:p w14:paraId="7766FCC5" w14:textId="34E6B7CB" w:rsidR="004F639C" w:rsidRPr="004F639C" w:rsidRDefault="004F639C" w:rsidP="004F639C">
      <w:pPr>
        <w:rPr>
          <w:rFonts w:ascii="Arial" w:eastAsiaTheme="minorHAnsi" w:hAnsi="Arial" w:cs="Arial"/>
          <w:sz w:val="22"/>
          <w:szCs w:val="22"/>
        </w:rPr>
      </w:pPr>
      <w:r w:rsidRPr="004F639C">
        <w:rPr>
          <w:rFonts w:ascii="Arial" w:hAnsi="Arial" w:cs="Arial"/>
          <w:sz w:val="22"/>
          <w:szCs w:val="22"/>
        </w:rPr>
        <w:t xml:space="preserve">All TBMH activity will be equitable and inclusive across all </w:t>
      </w:r>
      <w:hyperlink r:id="rId12" w:history="1">
        <w:r w:rsidRPr="004F639C">
          <w:rPr>
            <w:rStyle w:val="Hyperlink"/>
            <w:rFonts w:ascii="Arial" w:hAnsi="Arial" w:cs="Arial"/>
            <w:sz w:val="22"/>
            <w:szCs w:val="22"/>
          </w:rPr>
          <w:t>protected characteristics</w:t>
        </w:r>
      </w:hyperlink>
      <w:r w:rsidRPr="004F639C">
        <w:rPr>
          <w:rFonts w:ascii="Arial" w:hAnsi="Arial" w:cs="Arial"/>
          <w:sz w:val="22"/>
          <w:szCs w:val="22"/>
        </w:rPr>
        <w:t xml:space="preserve">, to allow our participants (children, young people, workforce) to genuinely feel like they belong. We will create a space where everyone has equal access to opportunities and can be themselves without fear of discrimination, prejudice, </w:t>
      </w:r>
      <w:r w:rsidR="00474D15" w:rsidRPr="004F639C">
        <w:rPr>
          <w:rFonts w:ascii="Arial" w:hAnsi="Arial" w:cs="Arial"/>
          <w:sz w:val="22"/>
          <w:szCs w:val="22"/>
        </w:rPr>
        <w:t>harassment,</w:t>
      </w:r>
      <w:r w:rsidRPr="004F639C">
        <w:rPr>
          <w:rFonts w:ascii="Arial" w:hAnsi="Arial" w:cs="Arial"/>
          <w:sz w:val="22"/>
          <w:szCs w:val="22"/>
        </w:rPr>
        <w:t xml:space="preserve"> or bullying. This will ensure that a fully rounded, </w:t>
      </w:r>
      <w:r w:rsidR="00474D15" w:rsidRPr="004F639C">
        <w:rPr>
          <w:rFonts w:ascii="Arial" w:hAnsi="Arial" w:cs="Arial"/>
          <w:sz w:val="22"/>
          <w:szCs w:val="22"/>
        </w:rPr>
        <w:t>progressive,</w:t>
      </w:r>
      <w:r w:rsidRPr="004F639C">
        <w:rPr>
          <w:rFonts w:ascii="Arial" w:hAnsi="Arial" w:cs="Arial"/>
          <w:sz w:val="22"/>
          <w:szCs w:val="22"/>
        </w:rPr>
        <w:t xml:space="preserve"> and innovative music education will be representative of all children, young people, </w:t>
      </w:r>
      <w:r w:rsidR="00474D15" w:rsidRPr="004F639C">
        <w:rPr>
          <w:rFonts w:ascii="Arial" w:hAnsi="Arial" w:cs="Arial"/>
          <w:sz w:val="22"/>
          <w:szCs w:val="22"/>
        </w:rPr>
        <w:t>families,</w:t>
      </w:r>
      <w:r w:rsidRPr="004F639C">
        <w:rPr>
          <w:rFonts w:ascii="Arial" w:hAnsi="Arial" w:cs="Arial"/>
          <w:sz w:val="22"/>
          <w:szCs w:val="22"/>
        </w:rPr>
        <w:t xml:space="preserve"> and communities who live or go to school within our three boroughs, regardless of their backgrounds or circumstances. </w:t>
      </w:r>
    </w:p>
    <w:p w14:paraId="08ED24D8" w14:textId="77777777" w:rsidR="005F01F9" w:rsidRPr="009055D5" w:rsidRDefault="005F01F9" w:rsidP="005F01F9">
      <w:pPr>
        <w:pStyle w:val="paragraph"/>
        <w:spacing w:before="0" w:beforeAutospacing="0" w:after="0" w:afterAutospacing="0"/>
        <w:textAlignment w:val="baseline"/>
        <w:rPr>
          <w:rFonts w:ascii="Segoe UI" w:hAnsi="Segoe UI" w:cs="Segoe UI"/>
          <w:sz w:val="4"/>
          <w:szCs w:val="4"/>
        </w:rPr>
      </w:pPr>
    </w:p>
    <w:p w14:paraId="0B1563DB" w14:textId="7DC8FAEB" w:rsidR="007A3560" w:rsidRPr="00F3247C" w:rsidRDefault="007A3560" w:rsidP="00F3247C">
      <w:pPr>
        <w:rPr>
          <w:sz w:val="10"/>
          <w:szCs w:val="4"/>
        </w:rPr>
      </w:pPr>
    </w:p>
    <w:p w14:paraId="768D3AE3" w14:textId="77777777" w:rsidR="0019761A" w:rsidRPr="00F25B04" w:rsidRDefault="0019761A" w:rsidP="0019761A">
      <w:pPr>
        <w:pStyle w:val="Heading1"/>
        <w:spacing w:before="0" w:after="0" w:line="240" w:lineRule="auto"/>
        <w:rPr>
          <w:rFonts w:ascii="Arial" w:hAnsi="Arial" w:cs="Arial"/>
          <w:sz w:val="24"/>
        </w:rPr>
      </w:pPr>
      <w:r w:rsidRPr="00F25B04">
        <w:rPr>
          <w:rFonts w:ascii="Arial" w:hAnsi="Arial" w:cs="Arial"/>
          <w:sz w:val="24"/>
        </w:rPr>
        <w:t xml:space="preserve">Key </w:t>
      </w:r>
      <w:r>
        <w:rPr>
          <w:rFonts w:ascii="Arial" w:hAnsi="Arial" w:cs="Arial"/>
          <w:sz w:val="24"/>
        </w:rPr>
        <w:t xml:space="preserve">Themes in the evolution of the </w:t>
      </w:r>
      <w:r w:rsidRPr="00F25B04">
        <w:rPr>
          <w:rFonts w:ascii="Arial" w:hAnsi="Arial" w:cs="Arial"/>
          <w:sz w:val="24"/>
        </w:rPr>
        <w:t>TBMH</w:t>
      </w:r>
    </w:p>
    <w:p w14:paraId="2318FBEB" w14:textId="42C7D203" w:rsidR="0019761A" w:rsidRPr="00E02E55" w:rsidRDefault="00E643AC" w:rsidP="00E02E55">
      <w:pPr>
        <w:contextualSpacing/>
        <w:rPr>
          <w:rFonts w:ascii="Arial" w:hAnsi="Arial" w:cs="Arial"/>
          <w:sz w:val="22"/>
          <w:szCs w:val="22"/>
        </w:rPr>
      </w:pPr>
      <w:r>
        <w:rPr>
          <w:rFonts w:ascii="Arial" w:hAnsi="Arial" w:cs="Arial"/>
          <w:sz w:val="22"/>
          <w:szCs w:val="22"/>
        </w:rPr>
        <w:t>We continue to respond to the f</w:t>
      </w:r>
      <w:r w:rsidR="0081642A" w:rsidRPr="00E02E55">
        <w:rPr>
          <w:rFonts w:ascii="Arial" w:hAnsi="Arial" w:cs="Arial"/>
          <w:sz w:val="22"/>
          <w:szCs w:val="22"/>
        </w:rPr>
        <w:t xml:space="preserve">our common themes </w:t>
      </w:r>
      <w:r>
        <w:rPr>
          <w:rFonts w:ascii="Arial" w:hAnsi="Arial" w:cs="Arial"/>
          <w:sz w:val="22"/>
          <w:szCs w:val="22"/>
        </w:rPr>
        <w:t xml:space="preserve">that </w:t>
      </w:r>
      <w:r w:rsidR="0081642A" w:rsidRPr="00E02E55">
        <w:rPr>
          <w:rFonts w:ascii="Arial" w:hAnsi="Arial" w:cs="Arial"/>
          <w:sz w:val="22"/>
          <w:szCs w:val="22"/>
        </w:rPr>
        <w:t>emerged from our 2021 stakeholder</w:t>
      </w:r>
      <w:r w:rsidR="00E02E55" w:rsidRPr="00E02E55">
        <w:rPr>
          <w:rFonts w:ascii="Arial" w:hAnsi="Arial" w:cs="Arial"/>
          <w:sz w:val="22"/>
          <w:szCs w:val="22"/>
        </w:rPr>
        <w:t xml:space="preserve"> (</w:t>
      </w:r>
      <w:hyperlink r:id="rId13" w:history="1">
        <w:r w:rsidR="00E02E55" w:rsidRPr="00E02E55">
          <w:rPr>
            <w:rStyle w:val="Hyperlink"/>
            <w:rFonts w:ascii="Arial" w:hAnsi="Arial" w:cs="Arial"/>
            <w:sz w:val="22"/>
            <w:szCs w:val="22"/>
          </w:rPr>
          <w:t>HERE</w:t>
        </w:r>
      </w:hyperlink>
      <w:r w:rsidR="00E02E55" w:rsidRPr="00E02E55">
        <w:rPr>
          <w:rFonts w:ascii="Arial" w:hAnsi="Arial" w:cs="Arial"/>
          <w:sz w:val="22"/>
          <w:szCs w:val="22"/>
        </w:rPr>
        <w:t xml:space="preserve">) </w:t>
      </w:r>
      <w:r w:rsidR="0081642A" w:rsidRPr="00E02E55">
        <w:rPr>
          <w:rFonts w:ascii="Arial" w:hAnsi="Arial" w:cs="Arial"/>
          <w:sz w:val="22"/>
          <w:szCs w:val="22"/>
        </w:rPr>
        <w:t>consultation and research, which highlight</w:t>
      </w:r>
      <w:r>
        <w:rPr>
          <w:rFonts w:ascii="Arial" w:hAnsi="Arial" w:cs="Arial"/>
          <w:sz w:val="22"/>
          <w:szCs w:val="22"/>
        </w:rPr>
        <w:t>ed</w:t>
      </w:r>
      <w:r w:rsidR="0081642A" w:rsidRPr="00E02E55">
        <w:rPr>
          <w:rFonts w:ascii="Arial" w:hAnsi="Arial" w:cs="Arial"/>
          <w:sz w:val="22"/>
          <w:szCs w:val="22"/>
        </w:rPr>
        <w:t xml:space="preserve"> the challenges that need to be overcome in order to deliver the best possible service. </w:t>
      </w:r>
    </w:p>
    <w:p w14:paraId="10853E1E" w14:textId="06D08E2B" w:rsidR="0019761A" w:rsidRPr="00F3247C" w:rsidRDefault="0019761A" w:rsidP="0019761A">
      <w:pPr>
        <w:pStyle w:val="ListParagraph"/>
        <w:numPr>
          <w:ilvl w:val="0"/>
          <w:numId w:val="25"/>
        </w:numPr>
        <w:rPr>
          <w:rFonts w:ascii="Arial" w:eastAsia="Times New Roman" w:hAnsi="Arial" w:cs="Arial"/>
          <w:b/>
          <w:bCs/>
          <w:sz w:val="20"/>
          <w:szCs w:val="14"/>
        </w:rPr>
      </w:pPr>
      <w:r w:rsidRPr="00F3247C">
        <w:rPr>
          <w:rFonts w:ascii="Arial" w:eastAsia="Times New Roman" w:hAnsi="Arial" w:cs="Arial"/>
          <w:b/>
          <w:bCs/>
          <w:sz w:val="20"/>
          <w:szCs w:val="14"/>
        </w:rPr>
        <w:t>Access, diversity, inclusion:</w:t>
      </w:r>
      <w:r w:rsidRPr="00F3247C">
        <w:rPr>
          <w:rFonts w:ascii="Arial" w:eastAsia="Times New Roman" w:hAnsi="Arial" w:cs="Arial"/>
          <w:sz w:val="20"/>
          <w:szCs w:val="14"/>
        </w:rPr>
        <w:t xml:space="preserve"> Ensuring all children and young people who wish to access our services, can do so</w:t>
      </w:r>
    </w:p>
    <w:p w14:paraId="62ACACE9" w14:textId="534A8A26" w:rsidR="0019761A" w:rsidRPr="00F3247C" w:rsidRDefault="0019761A" w:rsidP="0019761A">
      <w:pPr>
        <w:pStyle w:val="ListParagraph"/>
        <w:numPr>
          <w:ilvl w:val="0"/>
          <w:numId w:val="25"/>
        </w:numPr>
        <w:rPr>
          <w:rFonts w:ascii="Arial" w:eastAsia="Times New Roman" w:hAnsi="Arial" w:cs="Arial"/>
          <w:b/>
          <w:bCs/>
          <w:sz w:val="20"/>
          <w:szCs w:val="14"/>
        </w:rPr>
      </w:pPr>
      <w:r w:rsidRPr="00F3247C">
        <w:rPr>
          <w:rFonts w:ascii="Arial" w:eastAsia="Times New Roman" w:hAnsi="Arial" w:cs="Arial"/>
          <w:b/>
          <w:bCs/>
          <w:sz w:val="20"/>
          <w:szCs w:val="14"/>
        </w:rPr>
        <w:t>Children’s enjoyment and wellbeing</w:t>
      </w:r>
      <w:r w:rsidRPr="00F3247C">
        <w:rPr>
          <w:rFonts w:ascii="Arial" w:eastAsia="Times New Roman" w:hAnsi="Arial" w:cs="Arial"/>
          <w:sz w:val="20"/>
          <w:szCs w:val="14"/>
        </w:rPr>
        <w:t>:</w:t>
      </w:r>
      <w:r w:rsidR="00F3247C" w:rsidRPr="00F3247C">
        <w:rPr>
          <w:rFonts w:ascii="Arial" w:eastAsia="Times New Roman" w:hAnsi="Arial" w:cs="Arial"/>
          <w:sz w:val="20"/>
          <w:szCs w:val="14"/>
        </w:rPr>
        <w:t xml:space="preserve"> </w:t>
      </w:r>
      <w:r w:rsidRPr="00F3247C">
        <w:rPr>
          <w:rFonts w:ascii="Arial" w:eastAsia="Times New Roman" w:hAnsi="Arial" w:cs="Arial"/>
          <w:sz w:val="20"/>
          <w:szCs w:val="14"/>
        </w:rPr>
        <w:t>Providing enjoyable activities for children and young people and supporting their health and wellbeing as we emerge from the challenges of the pandemic</w:t>
      </w:r>
    </w:p>
    <w:p w14:paraId="15724056" w14:textId="169E7117" w:rsidR="0019761A" w:rsidRPr="00F3247C" w:rsidRDefault="0019761A" w:rsidP="0019761A">
      <w:pPr>
        <w:pStyle w:val="ListParagraph"/>
        <w:numPr>
          <w:ilvl w:val="0"/>
          <w:numId w:val="25"/>
        </w:numPr>
        <w:rPr>
          <w:rFonts w:ascii="Arial" w:eastAsia="Times New Roman" w:hAnsi="Arial" w:cs="Arial"/>
          <w:sz w:val="20"/>
          <w:szCs w:val="14"/>
        </w:rPr>
      </w:pPr>
      <w:r w:rsidRPr="00F3247C">
        <w:rPr>
          <w:rFonts w:ascii="Arial" w:eastAsia="Times New Roman" w:hAnsi="Arial" w:cs="Arial"/>
          <w:b/>
          <w:bCs/>
          <w:sz w:val="20"/>
          <w:szCs w:val="14"/>
        </w:rPr>
        <w:t>Youth voice:</w:t>
      </w:r>
      <w:r w:rsidR="00F3247C" w:rsidRPr="00F3247C">
        <w:rPr>
          <w:rFonts w:ascii="Arial" w:eastAsia="Times New Roman" w:hAnsi="Arial" w:cs="Arial"/>
          <w:b/>
          <w:bCs/>
          <w:sz w:val="20"/>
          <w:szCs w:val="14"/>
        </w:rPr>
        <w:t xml:space="preserve"> </w:t>
      </w:r>
      <w:r w:rsidRPr="00F3247C">
        <w:rPr>
          <w:rFonts w:ascii="Arial" w:eastAsia="Times New Roman" w:hAnsi="Arial" w:cs="Arial"/>
          <w:sz w:val="20"/>
          <w:szCs w:val="14"/>
        </w:rPr>
        <w:t>Ensuring that young voices are at the heart of our offers and the decisions we make as a service</w:t>
      </w:r>
    </w:p>
    <w:p w14:paraId="5B1AE6FA" w14:textId="5F08B64F" w:rsidR="0019761A" w:rsidRPr="00F3247C" w:rsidRDefault="0019761A" w:rsidP="0019761A">
      <w:pPr>
        <w:pStyle w:val="ListParagraph"/>
        <w:numPr>
          <w:ilvl w:val="0"/>
          <w:numId w:val="25"/>
        </w:numPr>
        <w:rPr>
          <w:rFonts w:ascii="Arial" w:eastAsia="Times New Roman" w:hAnsi="Arial" w:cs="Arial"/>
          <w:sz w:val="20"/>
        </w:rPr>
      </w:pPr>
      <w:r w:rsidRPr="00F3247C">
        <w:rPr>
          <w:rFonts w:ascii="Arial" w:eastAsia="Times New Roman" w:hAnsi="Arial" w:cs="Arial"/>
          <w:b/>
          <w:bCs/>
          <w:sz w:val="20"/>
          <w:szCs w:val="14"/>
        </w:rPr>
        <w:t>Relationships and communication:</w:t>
      </w:r>
      <w:r w:rsidR="00F3247C" w:rsidRPr="00F3247C">
        <w:rPr>
          <w:rFonts w:ascii="Arial" w:eastAsia="Times New Roman" w:hAnsi="Arial" w:cs="Arial"/>
          <w:b/>
          <w:bCs/>
          <w:sz w:val="20"/>
          <w:szCs w:val="14"/>
        </w:rPr>
        <w:t xml:space="preserve"> </w:t>
      </w:r>
      <w:r w:rsidRPr="00F3247C">
        <w:rPr>
          <w:rFonts w:ascii="Arial" w:eastAsia="Times New Roman" w:hAnsi="Arial" w:cs="Arial"/>
          <w:sz w:val="20"/>
        </w:rPr>
        <w:t>The importance of listening to and communicating clearly with our audiences, partners, service users and workforce.</w:t>
      </w:r>
    </w:p>
    <w:p w14:paraId="224EF9EA" w14:textId="3050D939" w:rsidR="00AA5ECC" w:rsidRPr="008C41F7" w:rsidRDefault="008C41F7" w:rsidP="008C41F7">
      <w:pPr>
        <w:pStyle w:val="Heading1"/>
        <w:spacing w:before="0" w:after="0" w:line="240" w:lineRule="auto"/>
        <w:rPr>
          <w:rFonts w:ascii="Arial" w:hAnsi="Arial" w:cs="Arial"/>
          <w:sz w:val="24"/>
        </w:rPr>
      </w:pPr>
      <w:r w:rsidRPr="008C41F7">
        <w:rPr>
          <w:rFonts w:ascii="Arial" w:hAnsi="Arial" w:cs="Arial"/>
          <w:sz w:val="24"/>
        </w:rPr>
        <w:lastRenderedPageBreak/>
        <w:t>TBMH focus priority areas and strategic vision</w:t>
      </w:r>
    </w:p>
    <w:p w14:paraId="6167503C" w14:textId="3496F457" w:rsidR="00AA5ECC" w:rsidRPr="00005675" w:rsidRDefault="00AA5ECC" w:rsidP="00AA5ECC">
      <w:pPr>
        <w:rPr>
          <w:rFonts w:ascii="Arial" w:hAnsi="Arial" w:cs="Arial"/>
          <w:sz w:val="22"/>
          <w:szCs w:val="22"/>
        </w:rPr>
      </w:pPr>
      <w:r w:rsidRPr="00005675">
        <w:rPr>
          <w:rFonts w:ascii="Arial" w:eastAsiaTheme="minorHAnsi" w:hAnsi="Arial" w:cs="Arial"/>
          <w:sz w:val="22"/>
          <w:szCs w:val="22"/>
        </w:rPr>
        <w:t xml:space="preserve">Like all Music Hubs (MHs), the TBMH </w:t>
      </w:r>
      <w:r w:rsidR="003B4CF2" w:rsidRPr="00A821DC">
        <w:rPr>
          <w:rFonts w:ascii="Arial" w:hAnsi="Arial" w:cs="Arial"/>
          <w:sz w:val="22"/>
          <w:szCs w:val="18"/>
        </w:rPr>
        <w:t>is expected to deliver against</w:t>
      </w:r>
      <w:r w:rsidR="00872099">
        <w:rPr>
          <w:rFonts w:ascii="Arial" w:hAnsi="Arial" w:cs="Arial"/>
          <w:sz w:val="22"/>
          <w:szCs w:val="18"/>
        </w:rPr>
        <w:t xml:space="preserve"> the DfE/ACE’s one vision,</w:t>
      </w:r>
      <w:r w:rsidR="003B4CF2" w:rsidRPr="00A821DC">
        <w:rPr>
          <w:rFonts w:ascii="Arial" w:hAnsi="Arial" w:cs="Arial"/>
          <w:sz w:val="22"/>
          <w:szCs w:val="18"/>
        </w:rPr>
        <w:t xml:space="preserve"> three aims</w:t>
      </w:r>
      <w:r w:rsidR="00872099">
        <w:rPr>
          <w:rFonts w:ascii="Arial" w:hAnsi="Arial" w:cs="Arial"/>
          <w:sz w:val="22"/>
          <w:szCs w:val="18"/>
        </w:rPr>
        <w:t>, and five strategic functions</w:t>
      </w:r>
      <w:r w:rsidR="00D67364">
        <w:rPr>
          <w:rFonts w:ascii="Arial" w:hAnsi="Arial" w:cs="Arial"/>
          <w:sz w:val="22"/>
          <w:szCs w:val="18"/>
        </w:rPr>
        <w:t xml:space="preserve"> </w:t>
      </w:r>
      <w:r w:rsidR="00D67364" w:rsidRPr="00005675">
        <w:rPr>
          <w:rFonts w:ascii="Arial" w:hAnsi="Arial" w:cs="Arial"/>
          <w:sz w:val="22"/>
          <w:szCs w:val="22"/>
        </w:rPr>
        <w:t xml:space="preserve">as laid out in the National Plan for Music Education (source </w:t>
      </w:r>
      <w:hyperlink r:id="rId14" w:history="1">
        <w:r w:rsidR="00D67364" w:rsidRPr="00005675">
          <w:rPr>
            <w:rStyle w:val="Hyperlink"/>
            <w:rFonts w:ascii="Arial" w:hAnsi="Arial" w:cs="Arial"/>
            <w:sz w:val="22"/>
            <w:szCs w:val="22"/>
          </w:rPr>
          <w:t>HERE</w:t>
        </w:r>
      </w:hyperlink>
      <w:r w:rsidR="00D67364" w:rsidRPr="00005675">
        <w:rPr>
          <w:rFonts w:ascii="Arial" w:hAnsi="Arial" w:cs="Arial"/>
          <w:sz w:val="22"/>
          <w:szCs w:val="22"/>
        </w:rPr>
        <w:t>)</w:t>
      </w:r>
      <w:r w:rsidR="00D67364">
        <w:rPr>
          <w:rFonts w:ascii="Arial" w:hAnsi="Arial" w:cs="Arial"/>
          <w:sz w:val="22"/>
          <w:szCs w:val="18"/>
        </w:rPr>
        <w:t>, all summarised</w:t>
      </w:r>
      <w:r w:rsidR="003B4CF2" w:rsidRPr="00A821DC">
        <w:rPr>
          <w:rFonts w:ascii="Arial" w:hAnsi="Arial" w:cs="Arial"/>
          <w:sz w:val="22"/>
          <w:szCs w:val="18"/>
        </w:rPr>
        <w:t xml:space="preserve"> in a Local Plan for Music Education</w:t>
      </w:r>
      <w:r w:rsidR="003B4CF2">
        <w:rPr>
          <w:rFonts w:ascii="Arial" w:hAnsi="Arial" w:cs="Arial"/>
          <w:sz w:val="22"/>
          <w:szCs w:val="18"/>
        </w:rPr>
        <w:t xml:space="preserve"> (LPME)</w:t>
      </w:r>
      <w:r w:rsidR="00D67364">
        <w:rPr>
          <w:rFonts w:ascii="Arial" w:hAnsi="Arial" w:cs="Arial"/>
          <w:sz w:val="22"/>
          <w:szCs w:val="18"/>
        </w:rPr>
        <w:t>.</w:t>
      </w:r>
      <w:r w:rsidR="003B4CF2">
        <w:rPr>
          <w:rFonts w:ascii="Arial" w:hAnsi="Arial" w:cs="Arial"/>
          <w:sz w:val="22"/>
          <w:szCs w:val="18"/>
        </w:rPr>
        <w:t xml:space="preserve"> </w:t>
      </w:r>
    </w:p>
    <w:p w14:paraId="537DF80B" w14:textId="77777777" w:rsidR="00AA5ECC" w:rsidRDefault="00AA5ECC" w:rsidP="00AA5ECC">
      <w:pPr>
        <w:rPr>
          <w:rFonts w:ascii="Arial" w:hAnsi="Arial" w:cs="Arial"/>
          <w:b/>
          <w:sz w:val="22"/>
          <w:szCs w:val="22"/>
        </w:rPr>
      </w:pPr>
    </w:p>
    <w:p w14:paraId="03BE5B14" w14:textId="4442957C" w:rsidR="001E16A3" w:rsidRDefault="001E16A3" w:rsidP="00E66D12">
      <w:pPr>
        <w:autoSpaceDE w:val="0"/>
        <w:autoSpaceDN w:val="0"/>
        <w:adjustRightInd w:val="0"/>
        <w:rPr>
          <w:rFonts w:ascii="Arial" w:hAnsi="Arial" w:cs="Arial"/>
          <w:bCs/>
          <w:sz w:val="22"/>
          <w:szCs w:val="22"/>
        </w:rPr>
      </w:pPr>
      <w:r>
        <w:rPr>
          <w:rFonts w:ascii="Arial" w:hAnsi="Arial" w:cs="Arial"/>
          <w:b/>
          <w:sz w:val="22"/>
          <w:szCs w:val="22"/>
        </w:rPr>
        <w:t>DfE/ACE Vision:</w:t>
      </w:r>
      <w:r w:rsidRPr="00E3187E">
        <w:rPr>
          <w:rFonts w:ascii="Arial" w:hAnsi="Arial" w:cs="Arial"/>
          <w:bCs/>
          <w:sz w:val="22"/>
          <w:szCs w:val="22"/>
        </w:rPr>
        <w:t xml:space="preserve"> </w:t>
      </w:r>
    </w:p>
    <w:p w14:paraId="454634BD" w14:textId="2C3EE405" w:rsidR="001E16A3" w:rsidRDefault="001E16A3" w:rsidP="00E66D12">
      <w:pPr>
        <w:autoSpaceDE w:val="0"/>
        <w:autoSpaceDN w:val="0"/>
        <w:adjustRightInd w:val="0"/>
        <w:rPr>
          <w:rFonts w:ascii="Arial" w:hAnsi="Arial" w:cs="Arial"/>
          <w:b/>
          <w:sz w:val="22"/>
          <w:szCs w:val="22"/>
        </w:rPr>
      </w:pPr>
      <w:r w:rsidRPr="00E3187E">
        <w:rPr>
          <w:rFonts w:ascii="Arial" w:hAnsi="Arial" w:cs="Arial"/>
          <w:bCs/>
          <w:sz w:val="22"/>
          <w:szCs w:val="22"/>
        </w:rPr>
        <w:t>All children and young people should be able to learn to sing, play an instrument and create music together, and have the opportunity to progress their musical interests and talent, including into a professional creative career.</w:t>
      </w:r>
    </w:p>
    <w:p w14:paraId="1A846BA6" w14:textId="77777777" w:rsidR="001E16A3" w:rsidRDefault="001E16A3" w:rsidP="00E66D12">
      <w:pPr>
        <w:autoSpaceDE w:val="0"/>
        <w:autoSpaceDN w:val="0"/>
        <w:adjustRightInd w:val="0"/>
        <w:rPr>
          <w:rFonts w:ascii="Arial" w:hAnsi="Arial" w:cs="Arial"/>
          <w:b/>
          <w:sz w:val="22"/>
          <w:szCs w:val="22"/>
        </w:rPr>
      </w:pPr>
    </w:p>
    <w:p w14:paraId="47F6BAA4" w14:textId="3F5258B9" w:rsidR="00E66D12" w:rsidRPr="00123142" w:rsidRDefault="008E0443" w:rsidP="00E66D12">
      <w:pPr>
        <w:autoSpaceDE w:val="0"/>
        <w:autoSpaceDN w:val="0"/>
        <w:adjustRightInd w:val="0"/>
        <w:rPr>
          <w:rFonts w:ascii="Arial" w:hAnsi="Arial" w:cs="Arial"/>
          <w:b/>
          <w:sz w:val="22"/>
          <w:szCs w:val="22"/>
        </w:rPr>
      </w:pPr>
      <w:r>
        <w:rPr>
          <w:rFonts w:ascii="Arial" w:hAnsi="Arial" w:cs="Arial"/>
          <w:b/>
          <w:sz w:val="22"/>
          <w:szCs w:val="22"/>
        </w:rPr>
        <w:t xml:space="preserve">DfE/ACE </w:t>
      </w:r>
      <w:r w:rsidR="00E66D12" w:rsidRPr="00123142">
        <w:rPr>
          <w:rFonts w:ascii="Arial" w:hAnsi="Arial" w:cs="Arial"/>
          <w:b/>
          <w:sz w:val="22"/>
          <w:szCs w:val="22"/>
        </w:rPr>
        <w:t>Three Aims</w:t>
      </w:r>
      <w:r w:rsidR="00C45E16">
        <w:rPr>
          <w:rFonts w:ascii="Arial" w:hAnsi="Arial" w:cs="Arial"/>
          <w:b/>
          <w:sz w:val="22"/>
          <w:szCs w:val="22"/>
        </w:rPr>
        <w:t xml:space="preserve"> (for Music Hubs)</w:t>
      </w:r>
      <w:r w:rsidR="00E66D12" w:rsidRPr="00123142">
        <w:rPr>
          <w:rFonts w:ascii="Arial" w:hAnsi="Arial" w:cs="Arial"/>
          <w:b/>
          <w:sz w:val="22"/>
          <w:szCs w:val="22"/>
        </w:rPr>
        <w:t>:</w:t>
      </w:r>
      <w:r w:rsidR="00E66D12" w:rsidRPr="00690F11">
        <w:rPr>
          <w:noProof/>
          <w:color w:val="44546A" w:themeColor="text2"/>
        </w:rPr>
        <w:t xml:space="preserve"> </w:t>
      </w:r>
    </w:p>
    <w:p w14:paraId="5F62F97F" w14:textId="77777777" w:rsidR="00E66D12" w:rsidRPr="0019626E" w:rsidRDefault="00E66D12" w:rsidP="00E66D12">
      <w:pPr>
        <w:pStyle w:val="ListParagraph"/>
        <w:numPr>
          <w:ilvl w:val="0"/>
          <w:numId w:val="38"/>
        </w:numPr>
        <w:autoSpaceDE w:val="0"/>
        <w:autoSpaceDN w:val="0"/>
        <w:adjustRightInd w:val="0"/>
        <w:rPr>
          <w:rFonts w:ascii="Arial" w:hAnsi="Arial" w:cs="Arial"/>
          <w:bCs/>
          <w:sz w:val="22"/>
          <w:szCs w:val="22"/>
        </w:rPr>
      </w:pPr>
      <w:r w:rsidRPr="0019626E">
        <w:rPr>
          <w:rFonts w:ascii="Arial" w:hAnsi="Arial" w:cs="Arial"/>
          <w:bCs/>
          <w:sz w:val="22"/>
          <w:szCs w:val="22"/>
        </w:rPr>
        <w:t>To support schools and other education settings to deliver high quality music education</w:t>
      </w:r>
      <w:r>
        <w:rPr>
          <w:rFonts w:ascii="Arial" w:hAnsi="Arial" w:cs="Arial"/>
          <w:bCs/>
          <w:sz w:val="22"/>
          <w:szCs w:val="22"/>
        </w:rPr>
        <w:t>.</w:t>
      </w:r>
    </w:p>
    <w:p w14:paraId="730A67C2" w14:textId="77777777" w:rsidR="00E66D12" w:rsidRPr="0019626E" w:rsidRDefault="00E66D12" w:rsidP="00E66D12">
      <w:pPr>
        <w:pStyle w:val="ListParagraph"/>
        <w:numPr>
          <w:ilvl w:val="0"/>
          <w:numId w:val="38"/>
        </w:numPr>
        <w:autoSpaceDE w:val="0"/>
        <w:autoSpaceDN w:val="0"/>
        <w:adjustRightInd w:val="0"/>
        <w:rPr>
          <w:rFonts w:ascii="Arial" w:hAnsi="Arial" w:cs="Arial"/>
          <w:bCs/>
          <w:sz w:val="22"/>
          <w:szCs w:val="22"/>
        </w:rPr>
      </w:pPr>
      <w:r w:rsidRPr="0019626E">
        <w:rPr>
          <w:rFonts w:ascii="Arial" w:hAnsi="Arial" w:cs="Arial"/>
          <w:bCs/>
          <w:sz w:val="22"/>
          <w:szCs w:val="22"/>
        </w:rPr>
        <w:t>To support young people to further develop their musical interests and talent, including into employment</w:t>
      </w:r>
      <w:r>
        <w:rPr>
          <w:rFonts w:ascii="Arial" w:hAnsi="Arial" w:cs="Arial"/>
          <w:bCs/>
          <w:sz w:val="22"/>
          <w:szCs w:val="22"/>
        </w:rPr>
        <w:t>.</w:t>
      </w:r>
    </w:p>
    <w:p w14:paraId="5B8C6367" w14:textId="2D0CAF08" w:rsidR="00E66D12" w:rsidRPr="001E16A3" w:rsidRDefault="00E66D12" w:rsidP="00ED32DA">
      <w:pPr>
        <w:pStyle w:val="ListParagraph"/>
        <w:numPr>
          <w:ilvl w:val="0"/>
          <w:numId w:val="38"/>
        </w:numPr>
        <w:autoSpaceDE w:val="0"/>
        <w:autoSpaceDN w:val="0"/>
        <w:adjustRightInd w:val="0"/>
        <w:rPr>
          <w:rFonts w:ascii="Arial" w:hAnsi="Arial" w:cs="Arial"/>
          <w:b/>
          <w:sz w:val="22"/>
          <w:szCs w:val="22"/>
        </w:rPr>
      </w:pPr>
      <w:r w:rsidRPr="00E66D12">
        <w:rPr>
          <w:rFonts w:ascii="Arial" w:hAnsi="Arial" w:cs="Arial"/>
          <w:bCs/>
          <w:sz w:val="22"/>
          <w:szCs w:val="22"/>
        </w:rPr>
        <w:t>To support all children and young people to engage with a range of musical opportunities in and out of school.</w:t>
      </w:r>
    </w:p>
    <w:p w14:paraId="22AA01E2" w14:textId="77777777" w:rsidR="001E16A3" w:rsidRPr="001E16A3" w:rsidRDefault="001E16A3" w:rsidP="001E16A3">
      <w:pPr>
        <w:pStyle w:val="ListParagraph"/>
        <w:autoSpaceDE w:val="0"/>
        <w:autoSpaceDN w:val="0"/>
        <w:adjustRightInd w:val="0"/>
        <w:ind w:left="360"/>
        <w:rPr>
          <w:rFonts w:ascii="Arial" w:hAnsi="Arial" w:cs="Arial"/>
          <w:b/>
          <w:sz w:val="22"/>
          <w:szCs w:val="22"/>
        </w:rPr>
      </w:pPr>
    </w:p>
    <w:p w14:paraId="0DA58D14" w14:textId="0EAA4F61" w:rsidR="001E16A3" w:rsidRDefault="001E16A3" w:rsidP="001E16A3">
      <w:pPr>
        <w:autoSpaceDE w:val="0"/>
        <w:autoSpaceDN w:val="0"/>
        <w:adjustRightInd w:val="0"/>
        <w:rPr>
          <w:rFonts w:ascii="Arial" w:hAnsi="Arial" w:cs="Arial"/>
          <w:b/>
          <w:sz w:val="22"/>
          <w:szCs w:val="22"/>
        </w:rPr>
      </w:pPr>
      <w:r>
        <w:rPr>
          <w:rFonts w:ascii="Arial" w:hAnsi="Arial" w:cs="Arial"/>
          <w:b/>
          <w:sz w:val="22"/>
          <w:szCs w:val="22"/>
        </w:rPr>
        <w:t>DfE/ACE Five Strategic Functions:</w:t>
      </w:r>
    </w:p>
    <w:p w14:paraId="318837A5" w14:textId="2E5F44F7" w:rsidR="00E1110F"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Partnership</w:t>
      </w:r>
      <w:r w:rsidR="00C70897">
        <w:rPr>
          <w:rFonts w:ascii="Arial" w:hAnsi="Arial" w:cs="Arial"/>
          <w:bCs/>
          <w:sz w:val="22"/>
          <w:szCs w:val="22"/>
        </w:rPr>
        <w:t>s</w:t>
      </w:r>
    </w:p>
    <w:p w14:paraId="085F89C6" w14:textId="23FB5066" w:rsidR="00E1110F"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 xml:space="preserve">Schools </w:t>
      </w:r>
    </w:p>
    <w:p w14:paraId="14C866B5" w14:textId="18C0E8C9" w:rsidR="00E1110F"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Progression and Musical Development</w:t>
      </w:r>
    </w:p>
    <w:p w14:paraId="4270EFFE" w14:textId="4DEA419D" w:rsidR="00E1110F"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 xml:space="preserve">Inclusion </w:t>
      </w:r>
    </w:p>
    <w:p w14:paraId="33476B64" w14:textId="4F8948C6" w:rsidR="001E16A3" w:rsidRPr="00E1110F" w:rsidRDefault="00E1110F" w:rsidP="00E1110F">
      <w:pPr>
        <w:pStyle w:val="ListParagraph"/>
        <w:numPr>
          <w:ilvl w:val="0"/>
          <w:numId w:val="39"/>
        </w:numPr>
        <w:autoSpaceDE w:val="0"/>
        <w:autoSpaceDN w:val="0"/>
        <w:adjustRightInd w:val="0"/>
        <w:rPr>
          <w:rFonts w:ascii="Arial" w:hAnsi="Arial" w:cs="Arial"/>
          <w:bCs/>
          <w:sz w:val="22"/>
          <w:szCs w:val="22"/>
        </w:rPr>
      </w:pPr>
      <w:r w:rsidRPr="00E1110F">
        <w:rPr>
          <w:rFonts w:ascii="Arial" w:hAnsi="Arial" w:cs="Arial"/>
          <w:bCs/>
          <w:sz w:val="22"/>
          <w:szCs w:val="22"/>
        </w:rPr>
        <w:t>Sustainability</w:t>
      </w:r>
    </w:p>
    <w:p w14:paraId="0CFC5933" w14:textId="77777777" w:rsidR="00E66D12" w:rsidRDefault="00E66D12" w:rsidP="00AA5ECC">
      <w:pPr>
        <w:rPr>
          <w:rFonts w:ascii="Arial" w:hAnsi="Arial" w:cs="Arial"/>
          <w:b/>
          <w:sz w:val="22"/>
          <w:szCs w:val="22"/>
        </w:rPr>
      </w:pPr>
    </w:p>
    <w:p w14:paraId="00AAA6A5" w14:textId="74E5E2AB" w:rsidR="007A7ED1" w:rsidRPr="003B7453" w:rsidRDefault="007A7ED1" w:rsidP="007A7ED1">
      <w:pPr>
        <w:rPr>
          <w:rFonts w:ascii="Arial" w:eastAsia="Arial" w:hAnsi="Arial" w:cs="Arial"/>
          <w:sz w:val="22"/>
          <w:szCs w:val="18"/>
        </w:rPr>
      </w:pPr>
      <w:r w:rsidRPr="003B7453">
        <w:rPr>
          <w:rFonts w:ascii="Arial" w:eastAsia="Arial" w:hAnsi="Arial" w:cs="Arial"/>
          <w:sz w:val="22"/>
          <w:szCs w:val="18"/>
        </w:rPr>
        <w:t xml:space="preserve">The TBMH has its own locally agreed </w:t>
      </w:r>
      <w:r w:rsidRPr="003B7453">
        <w:rPr>
          <w:rFonts w:ascii="Arial" w:eastAsia="Arial" w:hAnsi="Arial" w:cs="Arial"/>
          <w:b/>
          <w:color w:val="C00000"/>
          <w:sz w:val="22"/>
          <w:szCs w:val="18"/>
        </w:rPr>
        <w:t>focus priority areas</w:t>
      </w:r>
      <w:r w:rsidRPr="003B7453">
        <w:rPr>
          <w:rFonts w:ascii="Arial" w:eastAsia="Arial" w:hAnsi="Arial" w:cs="Arial"/>
          <w:sz w:val="22"/>
          <w:szCs w:val="18"/>
        </w:rPr>
        <w:t>, which link to our overall music strategy (</w:t>
      </w:r>
      <w:hyperlink r:id="rId15">
        <w:r w:rsidRPr="003B7453">
          <w:rPr>
            <w:rFonts w:ascii="Arial" w:eastAsia="Arial" w:hAnsi="Arial" w:cs="Arial"/>
            <w:color w:val="0000FF"/>
            <w:sz w:val="22"/>
            <w:szCs w:val="18"/>
            <w:u w:val="single"/>
          </w:rPr>
          <w:t>click HERE</w:t>
        </w:r>
      </w:hyperlink>
      <w:r w:rsidRPr="003B7453">
        <w:rPr>
          <w:rFonts w:ascii="Arial" w:eastAsia="Arial" w:hAnsi="Arial" w:cs="Arial"/>
          <w:sz w:val="22"/>
          <w:szCs w:val="18"/>
        </w:rPr>
        <w:t xml:space="preserve">), based on need, as laid out in the table below. Listed within each of the priorities below are the areas in which the TBMH and its partners contribute to, and which also map to </w:t>
      </w:r>
      <w:r w:rsidR="009B1E46">
        <w:rPr>
          <w:rFonts w:ascii="Arial" w:eastAsia="Arial" w:hAnsi="Arial" w:cs="Arial"/>
          <w:sz w:val="22"/>
          <w:szCs w:val="18"/>
        </w:rPr>
        <w:t>our</w:t>
      </w:r>
      <w:r w:rsidRPr="003B7453">
        <w:rPr>
          <w:rFonts w:ascii="Arial" w:eastAsia="Arial" w:hAnsi="Arial" w:cs="Arial"/>
          <w:sz w:val="22"/>
          <w:szCs w:val="18"/>
        </w:rPr>
        <w:t xml:space="preserve"> </w:t>
      </w:r>
      <w:r>
        <w:rPr>
          <w:rFonts w:ascii="Arial" w:eastAsia="Arial" w:hAnsi="Arial" w:cs="Arial"/>
          <w:sz w:val="22"/>
          <w:szCs w:val="18"/>
        </w:rPr>
        <w:t>LPME</w:t>
      </w:r>
      <w:r w:rsidR="009B1E46">
        <w:rPr>
          <w:rFonts w:ascii="Arial" w:eastAsia="Arial" w:hAnsi="Arial" w:cs="Arial"/>
          <w:sz w:val="22"/>
          <w:szCs w:val="18"/>
        </w:rPr>
        <w:t xml:space="preserve"> </w:t>
      </w:r>
      <w:r w:rsidR="009B1E46" w:rsidRPr="009B1E46">
        <w:rPr>
          <w:rFonts w:ascii="Arial" w:eastAsia="Arial" w:hAnsi="Arial" w:cs="Arial"/>
          <w:color w:val="FF0000"/>
          <w:sz w:val="22"/>
          <w:szCs w:val="18"/>
          <w:highlight w:val="yellow"/>
        </w:rPr>
        <w:t>(insert link when prepared</w:t>
      </w:r>
      <w:r w:rsidR="009B1E46">
        <w:rPr>
          <w:rFonts w:ascii="Arial" w:eastAsia="Arial" w:hAnsi="Arial" w:cs="Arial"/>
          <w:sz w:val="22"/>
          <w:szCs w:val="18"/>
        </w:rPr>
        <w:t>)</w:t>
      </w:r>
      <w:r w:rsidRPr="003B7453">
        <w:rPr>
          <w:rFonts w:ascii="Arial" w:eastAsia="Arial" w:hAnsi="Arial" w:cs="Arial"/>
          <w:sz w:val="22"/>
          <w:szCs w:val="18"/>
        </w:rPr>
        <w:t>.</w:t>
      </w:r>
    </w:p>
    <w:p w14:paraId="2DC7C3D0" w14:textId="77777777" w:rsidR="007A7ED1" w:rsidRDefault="007A7ED1" w:rsidP="007A7ED1">
      <w:pPr>
        <w:rPr>
          <w:rFonts w:ascii="Arial" w:eastAsia="Arial" w:hAnsi="Arial" w:cs="Arial"/>
          <w:sz w:val="8"/>
          <w:szCs w:val="8"/>
        </w:rPr>
      </w:pPr>
    </w:p>
    <w:tbl>
      <w:tblPr>
        <w:tblW w:w="9941"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400" w:firstRow="0" w:lastRow="0" w:firstColumn="0" w:lastColumn="0" w:noHBand="0" w:noVBand="1"/>
      </w:tblPr>
      <w:tblGrid>
        <w:gridCol w:w="4969"/>
        <w:gridCol w:w="4972"/>
      </w:tblGrid>
      <w:tr w:rsidR="007A7ED1" w:rsidRPr="007A7ED1" w14:paraId="18C39CA8" w14:textId="77777777" w:rsidTr="007A7ED1">
        <w:trPr>
          <w:trHeight w:val="1432"/>
          <w:jc w:val="center"/>
        </w:trPr>
        <w:tc>
          <w:tcPr>
            <w:tcW w:w="4969" w:type="dxa"/>
          </w:tcPr>
          <w:p w14:paraId="63AFBB0F" w14:textId="77777777" w:rsidR="007A7ED1" w:rsidRPr="007A7ED1" w:rsidRDefault="007A7ED1" w:rsidP="006447AA">
            <w:pPr>
              <w:rPr>
                <w:rFonts w:ascii="Arial" w:eastAsia="Arial" w:hAnsi="Arial" w:cs="Arial"/>
                <w:b/>
                <w:sz w:val="20"/>
                <w:szCs w:val="14"/>
              </w:rPr>
            </w:pPr>
            <w:r w:rsidRPr="007A7ED1">
              <w:rPr>
                <w:rFonts w:ascii="Arial" w:eastAsia="Arial" w:hAnsi="Arial" w:cs="Arial"/>
                <w:b/>
                <w:sz w:val="20"/>
                <w:szCs w:val="14"/>
              </w:rPr>
              <w:t>Musical development of children and young people</w:t>
            </w:r>
          </w:p>
          <w:p w14:paraId="67A81224" w14:textId="77777777" w:rsidR="007A7ED1" w:rsidRPr="007A7ED1" w:rsidRDefault="007A7ED1" w:rsidP="007A7ED1">
            <w:pPr>
              <w:numPr>
                <w:ilvl w:val="0"/>
                <w:numId w:val="33"/>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support musical progression through a broad range of outstanding and fully inclusive musical pathways for children and young people with</w:t>
            </w:r>
            <w:r w:rsidRPr="007A7ED1">
              <w:rPr>
                <w:rFonts w:ascii="Arial" w:eastAsia="Arial" w:hAnsi="Arial" w:cs="Arial"/>
                <w:b/>
                <w:color w:val="2C56FF"/>
                <w:sz w:val="20"/>
                <w:szCs w:val="14"/>
              </w:rPr>
              <w:t xml:space="preserve"> </w:t>
            </w:r>
            <w:r w:rsidRPr="007A7ED1">
              <w:rPr>
                <w:rFonts w:ascii="Arial" w:eastAsia="Arial" w:hAnsi="Arial" w:cs="Arial"/>
                <w:color w:val="2C56FF"/>
                <w:sz w:val="20"/>
                <w:szCs w:val="14"/>
              </w:rPr>
              <w:t>Youth Voice</w:t>
            </w:r>
            <w:r w:rsidRPr="007A7ED1">
              <w:rPr>
                <w:rFonts w:ascii="Arial" w:eastAsia="Arial" w:hAnsi="Arial" w:cs="Arial"/>
                <w:b/>
                <w:color w:val="2C56FF"/>
                <w:sz w:val="20"/>
                <w:szCs w:val="14"/>
              </w:rPr>
              <w:t xml:space="preserve"> </w:t>
            </w:r>
            <w:r w:rsidRPr="007A7ED1">
              <w:rPr>
                <w:rFonts w:ascii="Arial" w:eastAsia="Arial" w:hAnsi="Arial" w:cs="Arial"/>
                <w:color w:val="2C56FF"/>
                <w:sz w:val="20"/>
                <w:szCs w:val="14"/>
              </w:rPr>
              <w:t>embedded in our work</w:t>
            </w:r>
          </w:p>
        </w:tc>
        <w:tc>
          <w:tcPr>
            <w:tcW w:w="4972" w:type="dxa"/>
          </w:tcPr>
          <w:p w14:paraId="35CCCF96" w14:textId="77777777" w:rsidR="007A7ED1" w:rsidRPr="007A7ED1" w:rsidRDefault="007A7ED1" w:rsidP="006447AA">
            <w:pPr>
              <w:rPr>
                <w:rFonts w:ascii="Arial" w:eastAsia="Arial" w:hAnsi="Arial" w:cs="Arial"/>
                <w:b/>
                <w:sz w:val="20"/>
                <w:szCs w:val="14"/>
              </w:rPr>
            </w:pPr>
            <w:r w:rsidRPr="007A7ED1">
              <w:rPr>
                <w:rFonts w:ascii="Arial" w:eastAsia="Arial" w:hAnsi="Arial" w:cs="Arial"/>
                <w:b/>
                <w:sz w:val="20"/>
                <w:szCs w:val="14"/>
              </w:rPr>
              <w:t>Enhancing music provision in schools and settings</w:t>
            </w:r>
          </w:p>
          <w:p w14:paraId="0D448589" w14:textId="77777777" w:rsidR="007A7ED1" w:rsidRPr="007A7ED1" w:rsidRDefault="007A7ED1" w:rsidP="007A7ED1">
            <w:pPr>
              <w:numPr>
                <w:ilvl w:val="0"/>
                <w:numId w:val="33"/>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engage with all schools to enhance the delivery of an effective music curriculum by supporting access to high-quality music education opportunities</w:t>
            </w:r>
          </w:p>
        </w:tc>
      </w:tr>
      <w:tr w:rsidR="007A7ED1" w:rsidRPr="007A7ED1" w14:paraId="1731BCB3" w14:textId="77777777" w:rsidTr="007A7ED1">
        <w:trPr>
          <w:trHeight w:val="1835"/>
          <w:jc w:val="center"/>
        </w:trPr>
        <w:tc>
          <w:tcPr>
            <w:tcW w:w="4969" w:type="dxa"/>
          </w:tcPr>
          <w:p w14:paraId="235DA23D"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learning instruments for all pupils</w:t>
            </w:r>
          </w:p>
          <w:p w14:paraId="5A25C365"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Whole Class Instrumental learning</w:t>
            </w:r>
          </w:p>
          <w:p w14:paraId="75C5CD3C"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Ensemble and Singing opportunities</w:t>
            </w:r>
          </w:p>
          <w:p w14:paraId="405F64F1"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Inclusive progression and pathway routes</w:t>
            </w:r>
          </w:p>
          <w:p w14:paraId="26B04BFE"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Youth Voice is heard and embedded</w:t>
            </w:r>
          </w:p>
          <w:p w14:paraId="54600BF7" w14:textId="77777777" w:rsidR="007A7ED1" w:rsidRPr="007A7ED1" w:rsidRDefault="007A7ED1" w:rsidP="006447AA">
            <w:pPr>
              <w:numPr>
                <w:ilvl w:val="0"/>
                <w:numId w:val="35"/>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large-scale music experiences</w:t>
            </w:r>
          </w:p>
        </w:tc>
        <w:tc>
          <w:tcPr>
            <w:tcW w:w="4972" w:type="dxa"/>
          </w:tcPr>
          <w:p w14:paraId="03B7E185"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 xml:space="preserve">Support for School Music Development Plans with Support for curriculum delivery and CPD for school workforce </w:t>
            </w:r>
          </w:p>
          <w:p w14:paraId="4053562D"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Identifying Lead School Partners</w:t>
            </w:r>
          </w:p>
          <w:p w14:paraId="581DD24A"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Ensemble and Singing opportunities</w:t>
            </w:r>
          </w:p>
          <w:p w14:paraId="0B1947D6"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Whole Class Instrumental Learning</w:t>
            </w:r>
          </w:p>
          <w:p w14:paraId="63E5A63F" w14:textId="7833850D" w:rsidR="007A7ED1" w:rsidRPr="007A7ED1" w:rsidRDefault="00FA7D64" w:rsidP="007A7ED1">
            <w:pPr>
              <w:numPr>
                <w:ilvl w:val="0"/>
                <w:numId w:val="36"/>
              </w:numPr>
              <w:pBdr>
                <w:top w:val="nil"/>
                <w:left w:val="nil"/>
                <w:bottom w:val="nil"/>
                <w:right w:val="nil"/>
                <w:between w:val="nil"/>
              </w:pBdr>
              <w:rPr>
                <w:rFonts w:ascii="Arial" w:eastAsia="Arial" w:hAnsi="Arial" w:cs="Arial"/>
                <w:sz w:val="20"/>
                <w:szCs w:val="14"/>
              </w:rPr>
            </w:pPr>
            <w:r>
              <w:rPr>
                <w:rFonts w:ascii="Arial" w:eastAsia="Arial" w:hAnsi="Arial" w:cs="Arial"/>
                <w:sz w:val="20"/>
                <w:szCs w:val="14"/>
              </w:rPr>
              <w:t xml:space="preserve">Diverse offer of </w:t>
            </w:r>
            <w:r w:rsidR="007F23B6">
              <w:rPr>
                <w:rFonts w:ascii="Arial" w:eastAsia="Arial" w:hAnsi="Arial" w:cs="Arial"/>
                <w:sz w:val="20"/>
                <w:szCs w:val="14"/>
              </w:rPr>
              <w:t>activity</w:t>
            </w:r>
          </w:p>
          <w:p w14:paraId="7C279FFE" w14:textId="77777777" w:rsidR="007A7ED1" w:rsidRPr="007A7ED1" w:rsidRDefault="007A7ED1" w:rsidP="007A7ED1">
            <w:pPr>
              <w:numPr>
                <w:ilvl w:val="0"/>
                <w:numId w:val="36"/>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Access to large-scale music experiences</w:t>
            </w:r>
          </w:p>
        </w:tc>
      </w:tr>
      <w:tr w:rsidR="007A7ED1" w:rsidRPr="007A7ED1" w14:paraId="31E7B8C3" w14:textId="77777777" w:rsidTr="007A7ED1">
        <w:trPr>
          <w:trHeight w:val="1395"/>
          <w:jc w:val="center"/>
        </w:trPr>
        <w:tc>
          <w:tcPr>
            <w:tcW w:w="4969" w:type="dxa"/>
          </w:tcPr>
          <w:p w14:paraId="6A20E861" w14:textId="77777777" w:rsidR="007A7ED1" w:rsidRPr="007A7ED1" w:rsidRDefault="007A7ED1" w:rsidP="006447AA">
            <w:pPr>
              <w:rPr>
                <w:rFonts w:ascii="Arial" w:eastAsia="Arial" w:hAnsi="Arial" w:cs="Arial"/>
                <w:b/>
                <w:sz w:val="20"/>
                <w:szCs w:val="14"/>
              </w:rPr>
            </w:pPr>
            <w:r w:rsidRPr="007A7ED1">
              <w:rPr>
                <w:rFonts w:ascii="Arial" w:eastAsia="Arial" w:hAnsi="Arial" w:cs="Arial"/>
                <w:b/>
                <w:sz w:val="20"/>
                <w:szCs w:val="14"/>
              </w:rPr>
              <w:t>Developing the music workforce</w:t>
            </w:r>
          </w:p>
          <w:p w14:paraId="0B7FCAC7" w14:textId="77777777" w:rsidR="007A7ED1" w:rsidRPr="007A7ED1" w:rsidRDefault="007A7ED1" w:rsidP="007A7ED1">
            <w:pPr>
              <w:numPr>
                <w:ilvl w:val="0"/>
                <w:numId w:val="33"/>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provide a broad range of effective continuing professional development opportunities for the wider workforce that enhances the quality of music education delivery for young people</w:t>
            </w:r>
          </w:p>
        </w:tc>
        <w:tc>
          <w:tcPr>
            <w:tcW w:w="4972" w:type="dxa"/>
          </w:tcPr>
          <w:p w14:paraId="4092D93C" w14:textId="77777777" w:rsidR="007A7ED1" w:rsidRPr="007A7ED1" w:rsidRDefault="007A7ED1" w:rsidP="006447AA">
            <w:pPr>
              <w:rPr>
                <w:rFonts w:ascii="Arial" w:eastAsia="Arial" w:hAnsi="Arial" w:cs="Arial"/>
                <w:b/>
                <w:sz w:val="20"/>
                <w:szCs w:val="14"/>
              </w:rPr>
            </w:pPr>
            <w:r w:rsidRPr="007A7ED1">
              <w:rPr>
                <w:rFonts w:ascii="Arial" w:eastAsia="Arial" w:hAnsi="Arial" w:cs="Arial"/>
                <w:b/>
                <w:sz w:val="20"/>
                <w:szCs w:val="14"/>
              </w:rPr>
              <w:t>Family and community engagement / Events</w:t>
            </w:r>
          </w:p>
          <w:p w14:paraId="5CA49B53" w14:textId="77777777" w:rsidR="007A7ED1" w:rsidRPr="007A7ED1" w:rsidRDefault="007A7ED1" w:rsidP="007A7ED1">
            <w:pPr>
              <w:numPr>
                <w:ilvl w:val="0"/>
                <w:numId w:val="33"/>
              </w:numPr>
              <w:pBdr>
                <w:top w:val="nil"/>
                <w:left w:val="nil"/>
                <w:bottom w:val="nil"/>
                <w:right w:val="nil"/>
                <w:between w:val="nil"/>
              </w:pBdr>
              <w:rPr>
                <w:rFonts w:ascii="Arial" w:eastAsia="Arial" w:hAnsi="Arial" w:cs="Arial"/>
                <w:b/>
                <w:sz w:val="20"/>
                <w:szCs w:val="14"/>
              </w:rPr>
            </w:pPr>
            <w:r w:rsidRPr="007A7ED1">
              <w:rPr>
                <w:rFonts w:ascii="Arial" w:eastAsia="Arial" w:hAnsi="Arial" w:cs="Arial"/>
                <w:color w:val="2C56FF"/>
                <w:sz w:val="20"/>
                <w:szCs w:val="14"/>
              </w:rPr>
              <w:t>To support families in our community by ensuring that financial access is not a barrier to pupils’ engagement in music education opportunities led by ourselves and our diverse range of partner organisations</w:t>
            </w:r>
          </w:p>
        </w:tc>
      </w:tr>
      <w:tr w:rsidR="007A7ED1" w:rsidRPr="007A7ED1" w14:paraId="69224360" w14:textId="77777777" w:rsidTr="007A7ED1">
        <w:trPr>
          <w:trHeight w:val="1046"/>
          <w:jc w:val="center"/>
        </w:trPr>
        <w:tc>
          <w:tcPr>
            <w:tcW w:w="4969" w:type="dxa"/>
          </w:tcPr>
          <w:p w14:paraId="21A7E31D" w14:textId="77777777" w:rsidR="007A7ED1" w:rsidRPr="007A7ED1" w:rsidRDefault="007A7ED1" w:rsidP="007A7ED1">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CPD for wider workforce (tutors, Higher Education students)</w:t>
            </w:r>
          </w:p>
          <w:p w14:paraId="40C093F2" w14:textId="77777777" w:rsidR="007A7ED1" w:rsidRPr="007A7ED1" w:rsidRDefault="007A7ED1" w:rsidP="007A7ED1">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Involvement in music education opportunities</w:t>
            </w:r>
          </w:p>
          <w:p w14:paraId="36F87E89" w14:textId="77777777" w:rsidR="007A7ED1" w:rsidRPr="007A7ED1" w:rsidRDefault="007A7ED1" w:rsidP="007A7ED1">
            <w:pPr>
              <w:numPr>
                <w:ilvl w:val="0"/>
                <w:numId w:val="37"/>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Representation across all protected characteristics</w:t>
            </w:r>
          </w:p>
        </w:tc>
        <w:tc>
          <w:tcPr>
            <w:tcW w:w="4972" w:type="dxa"/>
          </w:tcPr>
          <w:p w14:paraId="761B1C84" w14:textId="77777777" w:rsidR="007A7ED1" w:rsidRPr="007A7ED1" w:rsidRDefault="007A7ED1" w:rsidP="007A7ED1">
            <w:pPr>
              <w:numPr>
                <w:ilvl w:val="0"/>
                <w:numId w:val="34"/>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Affordable access to music education for children</w:t>
            </w:r>
          </w:p>
          <w:p w14:paraId="0921F07D" w14:textId="77777777" w:rsidR="007A7ED1" w:rsidRPr="007A7ED1" w:rsidRDefault="007A7ED1" w:rsidP="007A7ED1">
            <w:pPr>
              <w:numPr>
                <w:ilvl w:val="0"/>
                <w:numId w:val="34"/>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Instrument loan service</w:t>
            </w:r>
          </w:p>
          <w:p w14:paraId="76139AB0" w14:textId="77777777" w:rsidR="007A7ED1" w:rsidRPr="007A7ED1" w:rsidRDefault="007A7ED1" w:rsidP="007A7ED1">
            <w:pPr>
              <w:numPr>
                <w:ilvl w:val="0"/>
                <w:numId w:val="34"/>
              </w:numPr>
              <w:pBdr>
                <w:top w:val="nil"/>
                <w:left w:val="nil"/>
                <w:bottom w:val="nil"/>
                <w:right w:val="nil"/>
                <w:between w:val="nil"/>
              </w:pBdr>
              <w:rPr>
                <w:rFonts w:ascii="Arial" w:eastAsia="Arial" w:hAnsi="Arial" w:cs="Arial"/>
                <w:sz w:val="20"/>
                <w:szCs w:val="14"/>
              </w:rPr>
            </w:pPr>
            <w:r w:rsidRPr="007A7ED1">
              <w:rPr>
                <w:rFonts w:ascii="Arial" w:eastAsia="Arial" w:hAnsi="Arial" w:cs="Arial"/>
                <w:sz w:val="20"/>
                <w:szCs w:val="14"/>
              </w:rPr>
              <w:t>Families feel welcome, valued, and included</w:t>
            </w:r>
          </w:p>
        </w:tc>
      </w:tr>
      <w:tr w:rsidR="007A7ED1" w:rsidRPr="007A7ED1" w14:paraId="357CA281" w14:textId="77777777" w:rsidTr="007A7ED1">
        <w:trPr>
          <w:trHeight w:val="963"/>
          <w:jc w:val="center"/>
        </w:trPr>
        <w:tc>
          <w:tcPr>
            <w:tcW w:w="9941" w:type="dxa"/>
            <w:gridSpan w:val="2"/>
            <w:vAlign w:val="center"/>
          </w:tcPr>
          <w:p w14:paraId="627FBA60" w14:textId="77777777" w:rsidR="007A7ED1" w:rsidRPr="007A7ED1" w:rsidRDefault="007A7ED1" w:rsidP="006447AA">
            <w:pPr>
              <w:jc w:val="center"/>
              <w:rPr>
                <w:rFonts w:ascii="Arial" w:eastAsia="Arial" w:hAnsi="Arial" w:cs="Arial"/>
                <w:sz w:val="20"/>
                <w:szCs w:val="14"/>
              </w:rPr>
            </w:pPr>
            <w:r w:rsidRPr="007A7ED1">
              <w:rPr>
                <w:rFonts w:ascii="Arial" w:eastAsia="Arial" w:hAnsi="Arial" w:cs="Arial"/>
                <w:sz w:val="20"/>
                <w:szCs w:val="14"/>
              </w:rPr>
              <w:t xml:space="preserve">Everything above is underpinned by innovative music education </w:t>
            </w:r>
          </w:p>
          <w:p w14:paraId="591DE26B" w14:textId="77777777" w:rsidR="007A7ED1" w:rsidRPr="007A7ED1" w:rsidRDefault="007A7ED1" w:rsidP="006447AA">
            <w:pPr>
              <w:jc w:val="center"/>
              <w:rPr>
                <w:rFonts w:ascii="Arial" w:eastAsia="Arial" w:hAnsi="Arial" w:cs="Arial"/>
                <w:sz w:val="20"/>
                <w:szCs w:val="14"/>
              </w:rPr>
            </w:pPr>
            <w:r w:rsidRPr="007A7ED1">
              <w:rPr>
                <w:rFonts w:ascii="Arial" w:eastAsia="Arial" w:hAnsi="Arial" w:cs="Arial"/>
                <w:sz w:val="20"/>
                <w:szCs w:val="14"/>
              </w:rPr>
              <w:t xml:space="preserve">which ensures all TBMH, and partner, activity follows our values of: </w:t>
            </w:r>
          </w:p>
          <w:p w14:paraId="6A841223" w14:textId="77777777" w:rsidR="007A7ED1" w:rsidRPr="007A7ED1" w:rsidRDefault="007A7ED1" w:rsidP="006447AA">
            <w:pPr>
              <w:jc w:val="center"/>
              <w:rPr>
                <w:rFonts w:ascii="Arial" w:eastAsia="Arial" w:hAnsi="Arial" w:cs="Arial"/>
                <w:sz w:val="20"/>
                <w:szCs w:val="14"/>
              </w:rPr>
            </w:pPr>
            <w:r w:rsidRPr="007A7ED1">
              <w:rPr>
                <w:rFonts w:ascii="Arial" w:eastAsia="Arial" w:hAnsi="Arial" w:cs="Arial"/>
                <w:b/>
                <w:sz w:val="20"/>
                <w:szCs w:val="14"/>
              </w:rPr>
              <w:t>Inclusive — Exceptional — Inspiring— Progressive — Sustainable</w:t>
            </w:r>
          </w:p>
          <w:p w14:paraId="67B8BECD" w14:textId="77777777" w:rsidR="007A7ED1" w:rsidRPr="007A7ED1" w:rsidRDefault="007A7ED1" w:rsidP="006447AA">
            <w:pPr>
              <w:jc w:val="center"/>
              <w:rPr>
                <w:rFonts w:ascii="Arial" w:eastAsia="Arial" w:hAnsi="Arial" w:cs="Arial"/>
                <w:sz w:val="20"/>
                <w:szCs w:val="14"/>
              </w:rPr>
            </w:pPr>
            <w:r w:rsidRPr="007A7ED1">
              <w:rPr>
                <w:rFonts w:ascii="Arial" w:eastAsia="Arial" w:hAnsi="Arial" w:cs="Arial"/>
                <w:sz w:val="20"/>
                <w:szCs w:val="14"/>
              </w:rPr>
              <w:t xml:space="preserve">with </w:t>
            </w:r>
            <w:r w:rsidRPr="007A7ED1">
              <w:rPr>
                <w:rFonts w:ascii="Arial" w:eastAsia="Arial" w:hAnsi="Arial" w:cs="Arial"/>
                <w:b/>
                <w:color w:val="C00000"/>
                <w:sz w:val="20"/>
                <w:szCs w:val="14"/>
              </w:rPr>
              <w:t>representation</w:t>
            </w:r>
            <w:r w:rsidRPr="007A7ED1">
              <w:rPr>
                <w:rFonts w:ascii="Arial" w:eastAsia="Arial" w:hAnsi="Arial" w:cs="Arial"/>
                <w:sz w:val="20"/>
                <w:szCs w:val="14"/>
              </w:rPr>
              <w:t xml:space="preserve">, </w:t>
            </w:r>
            <w:r w:rsidRPr="007A7ED1">
              <w:rPr>
                <w:rFonts w:ascii="Arial" w:eastAsia="Arial" w:hAnsi="Arial" w:cs="Arial"/>
                <w:b/>
                <w:color w:val="C00000"/>
                <w:sz w:val="20"/>
                <w:szCs w:val="14"/>
              </w:rPr>
              <w:t>equity</w:t>
            </w:r>
            <w:r w:rsidRPr="007A7ED1">
              <w:rPr>
                <w:rFonts w:ascii="Arial" w:eastAsia="Arial" w:hAnsi="Arial" w:cs="Arial"/>
                <w:sz w:val="20"/>
                <w:szCs w:val="14"/>
              </w:rPr>
              <w:t xml:space="preserve">, </w:t>
            </w:r>
            <w:r w:rsidRPr="007A7ED1">
              <w:rPr>
                <w:rFonts w:ascii="Arial" w:eastAsia="Arial" w:hAnsi="Arial" w:cs="Arial"/>
                <w:b/>
                <w:color w:val="C00000"/>
                <w:sz w:val="20"/>
                <w:szCs w:val="14"/>
              </w:rPr>
              <w:t>diversity</w:t>
            </w:r>
            <w:r w:rsidRPr="007A7ED1">
              <w:rPr>
                <w:rFonts w:ascii="Arial" w:eastAsia="Arial" w:hAnsi="Arial" w:cs="Arial"/>
                <w:sz w:val="20"/>
                <w:szCs w:val="14"/>
              </w:rPr>
              <w:t xml:space="preserve">, and </w:t>
            </w:r>
            <w:r w:rsidRPr="007A7ED1">
              <w:rPr>
                <w:rFonts w:ascii="Arial" w:eastAsia="Arial" w:hAnsi="Arial" w:cs="Arial"/>
                <w:b/>
                <w:color w:val="C00000"/>
                <w:sz w:val="20"/>
                <w:szCs w:val="14"/>
              </w:rPr>
              <w:t>inclusion</w:t>
            </w:r>
            <w:r w:rsidRPr="007A7ED1">
              <w:rPr>
                <w:rFonts w:ascii="Arial" w:eastAsia="Arial" w:hAnsi="Arial" w:cs="Arial"/>
                <w:color w:val="C00000"/>
                <w:sz w:val="20"/>
                <w:szCs w:val="14"/>
              </w:rPr>
              <w:t xml:space="preserve"> </w:t>
            </w:r>
            <w:r w:rsidRPr="007A7ED1">
              <w:rPr>
                <w:rFonts w:ascii="Arial" w:eastAsia="Arial" w:hAnsi="Arial" w:cs="Arial"/>
                <w:sz w:val="20"/>
                <w:szCs w:val="14"/>
              </w:rPr>
              <w:t>at the core of our work</w:t>
            </w:r>
          </w:p>
        </w:tc>
      </w:tr>
      <w:bookmarkEnd w:id="5"/>
      <w:bookmarkEnd w:id="6"/>
    </w:tbl>
    <w:p w14:paraId="040B9F45" w14:textId="77777777" w:rsidR="00AA5ECC" w:rsidRPr="00517955" w:rsidRDefault="00AA5ECC" w:rsidP="00AA5ECC">
      <w:pPr>
        <w:rPr>
          <w:rFonts w:ascii="Arial" w:eastAsiaTheme="minorHAnsi" w:hAnsi="Arial" w:cs="Arial"/>
          <w:sz w:val="8"/>
          <w:szCs w:val="2"/>
        </w:rPr>
      </w:pPr>
    </w:p>
    <w:sectPr w:rsidR="00AA5ECC" w:rsidRPr="00517955" w:rsidSect="005D70A0">
      <w:headerReference w:type="default" r:id="rId16"/>
      <w:footerReference w:type="default" r:id="rId17"/>
      <w:pgSz w:w="11906" w:h="16838"/>
      <w:pgMar w:top="720" w:right="720" w:bottom="720" w:left="720" w:header="708" w:footer="332"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EA54" w14:textId="77777777" w:rsidR="008F0FAB" w:rsidRDefault="008F0FAB" w:rsidP="00FD1B84">
      <w:r>
        <w:separator/>
      </w:r>
    </w:p>
  </w:endnote>
  <w:endnote w:type="continuationSeparator" w:id="0">
    <w:p w14:paraId="5E0EF695" w14:textId="77777777" w:rsidR="008F0FAB" w:rsidRDefault="008F0FAB" w:rsidP="00FD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Cambri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4BC7" w14:textId="582FA9ED" w:rsidR="00F25B04" w:rsidRDefault="00F25B04" w:rsidP="00F25B04">
    <w:pPr>
      <w:pStyle w:val="Footer"/>
      <w:jc w:val="center"/>
    </w:pPr>
    <w:r>
      <w:rPr>
        <w:noProof/>
      </w:rPr>
      <w:drawing>
        <wp:anchor distT="0" distB="0" distL="114300" distR="114300" simplePos="0" relativeHeight="251657728" behindDoc="1" locked="0" layoutInCell="1" allowOverlap="1" wp14:anchorId="22C9FA09" wp14:editId="10BF68B0">
          <wp:simplePos x="0" y="0"/>
          <wp:positionH relativeFrom="column">
            <wp:posOffset>1432418</wp:posOffset>
          </wp:positionH>
          <wp:positionV relativeFrom="paragraph">
            <wp:posOffset>34120</wp:posOffset>
          </wp:positionV>
          <wp:extent cx="3473355" cy="432197"/>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355" cy="432197"/>
                  </a:xfrm>
                  <a:prstGeom prst="rect">
                    <a:avLst/>
                  </a:prstGeom>
                  <a:noFill/>
                </pic:spPr>
              </pic:pic>
            </a:graphicData>
          </a:graphic>
          <wp14:sizeRelH relativeFrom="page">
            <wp14:pctWidth>0</wp14:pctWidth>
          </wp14:sizeRelH>
          <wp14:sizeRelV relativeFrom="page">
            <wp14:pctHeight>0</wp14:pctHeight>
          </wp14:sizeRelV>
        </wp:anchor>
      </w:drawing>
    </w:r>
  </w:p>
  <w:p w14:paraId="5871B2D6" w14:textId="77777777" w:rsidR="00F25B04" w:rsidRDefault="00F25B04" w:rsidP="00F25B04">
    <w:pPr>
      <w:pStyle w:val="Footer"/>
      <w:jc w:val="center"/>
    </w:pPr>
  </w:p>
  <w:p w14:paraId="496ABECF" w14:textId="68E15F37" w:rsidR="00F25B04" w:rsidRDefault="00F25B04" w:rsidP="00F25B0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05625" w14:textId="77777777" w:rsidR="008F0FAB" w:rsidRDefault="008F0FAB" w:rsidP="00FD1B84">
      <w:r>
        <w:separator/>
      </w:r>
    </w:p>
  </w:footnote>
  <w:footnote w:type="continuationSeparator" w:id="0">
    <w:p w14:paraId="07159284" w14:textId="77777777" w:rsidR="008F0FAB" w:rsidRDefault="008F0FAB" w:rsidP="00FD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5A98" w14:textId="07EDB113" w:rsidR="00F25B04" w:rsidRPr="0037119D" w:rsidRDefault="00F25B04">
    <w:pPr>
      <w:pStyle w:val="Header"/>
      <w:rPr>
        <w:rFonts w:ascii="Arial" w:hAnsi="Arial" w:cs="Arial"/>
        <w:b/>
        <w:bCs/>
        <w:color w:val="C00000"/>
        <w:sz w:val="22"/>
        <w:szCs w:val="16"/>
      </w:rPr>
    </w:pPr>
    <w:r w:rsidRPr="0037119D">
      <w:rPr>
        <w:rFonts w:ascii="Arial" w:hAnsi="Arial" w:cs="Arial"/>
        <w:b/>
        <w:bCs/>
        <w:noProof/>
        <w:color w:val="C00000"/>
        <w:sz w:val="22"/>
        <w:szCs w:val="16"/>
      </w:rPr>
      <w:drawing>
        <wp:anchor distT="0" distB="0" distL="114300" distR="114300" simplePos="0" relativeHeight="251656704" behindDoc="1" locked="0" layoutInCell="1" allowOverlap="1" wp14:anchorId="741FAEBF" wp14:editId="6ECEF947">
          <wp:simplePos x="0" y="0"/>
          <wp:positionH relativeFrom="column">
            <wp:posOffset>5337175</wp:posOffset>
          </wp:positionH>
          <wp:positionV relativeFrom="paragraph">
            <wp:posOffset>-195580</wp:posOffset>
          </wp:positionV>
          <wp:extent cx="1454150" cy="4962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496208"/>
                  </a:xfrm>
                  <a:prstGeom prst="rect">
                    <a:avLst/>
                  </a:prstGeom>
                  <a:noFill/>
                </pic:spPr>
              </pic:pic>
            </a:graphicData>
          </a:graphic>
          <wp14:sizeRelH relativeFrom="page">
            <wp14:pctWidth>0</wp14:pctWidth>
          </wp14:sizeRelH>
          <wp14:sizeRelV relativeFrom="page">
            <wp14:pctHeight>0</wp14:pctHeight>
          </wp14:sizeRelV>
        </wp:anchor>
      </w:drawing>
    </w:r>
    <w:r w:rsidR="0037119D" w:rsidRPr="0037119D">
      <w:rPr>
        <w:rFonts w:ascii="Arial" w:hAnsi="Arial" w:cs="Arial"/>
        <w:b/>
        <w:bCs/>
        <w:color w:val="C00000"/>
        <w:sz w:val="22"/>
        <w:szCs w:val="16"/>
      </w:rPr>
      <w:t>Strategic Overview 202</w:t>
    </w:r>
    <w:r w:rsidR="008E637C">
      <w:rPr>
        <w:rFonts w:ascii="Arial" w:hAnsi="Arial" w:cs="Arial"/>
        <w:b/>
        <w:bCs/>
        <w:color w:val="C00000"/>
        <w:sz w:val="22"/>
        <w:szCs w:val="16"/>
      </w:rPr>
      <w:t>3</w:t>
    </w:r>
    <w:r w:rsidR="0037119D" w:rsidRPr="0037119D">
      <w:rPr>
        <w:rFonts w:ascii="Arial" w:hAnsi="Arial" w:cs="Arial"/>
        <w:b/>
        <w:bCs/>
        <w:color w:val="C00000"/>
        <w:sz w:val="22"/>
        <w:szCs w:val="16"/>
      </w:rPr>
      <w:t>-2</w:t>
    </w:r>
    <w:r w:rsidR="008E637C">
      <w:rPr>
        <w:rFonts w:ascii="Arial" w:hAnsi="Arial" w:cs="Arial"/>
        <w:b/>
        <w:bCs/>
        <w:color w:val="C00000"/>
        <w:sz w:val="22"/>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2F87"/>
    <w:multiLevelType w:val="hybridMultilevel"/>
    <w:tmpl w:val="2880244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5910BFD"/>
    <w:multiLevelType w:val="hybridMultilevel"/>
    <w:tmpl w:val="5AFE5694"/>
    <w:lvl w:ilvl="0" w:tplc="F314D17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D3FB6"/>
    <w:multiLevelType w:val="hybridMultilevel"/>
    <w:tmpl w:val="A3ACA3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811C39"/>
    <w:multiLevelType w:val="hybridMultilevel"/>
    <w:tmpl w:val="36A01AD4"/>
    <w:lvl w:ilvl="0" w:tplc="B57E36E6">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30C5F"/>
    <w:multiLevelType w:val="multilevel"/>
    <w:tmpl w:val="AEE298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E53944"/>
    <w:multiLevelType w:val="hybridMultilevel"/>
    <w:tmpl w:val="CB3E821E"/>
    <w:lvl w:ilvl="0" w:tplc="FFFFFFFF">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sz w:val="18"/>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20433A7"/>
    <w:multiLevelType w:val="hybridMultilevel"/>
    <w:tmpl w:val="C9A8D7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3774A9D"/>
    <w:multiLevelType w:val="hybridMultilevel"/>
    <w:tmpl w:val="288024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AA2D4D"/>
    <w:multiLevelType w:val="hybridMultilevel"/>
    <w:tmpl w:val="BA9C95F8"/>
    <w:lvl w:ilvl="0" w:tplc="85A809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AD6DD4"/>
    <w:multiLevelType w:val="hybridMultilevel"/>
    <w:tmpl w:val="CB3E821E"/>
    <w:lvl w:ilvl="0" w:tplc="2488FEEC">
      <w:start w:val="1"/>
      <w:numFmt w:val="decimal"/>
      <w:lvlText w:val="%1."/>
      <w:lvlJc w:val="left"/>
      <w:pPr>
        <w:ind w:left="360" w:hanging="360"/>
      </w:pPr>
      <w:rPr>
        <w:rFonts w:hint="default"/>
        <w:b/>
        <w:bCs w:val="0"/>
      </w:rPr>
    </w:lvl>
    <w:lvl w:ilvl="1" w:tplc="FFFFFFFF">
      <w:start w:val="1"/>
      <w:numFmt w:val="bullet"/>
      <w:lvlText w:val=""/>
      <w:lvlJc w:val="left"/>
      <w:pPr>
        <w:ind w:left="1080" w:hanging="360"/>
      </w:pPr>
      <w:rPr>
        <w:rFonts w:ascii="Symbol" w:hAnsi="Symbol" w:hint="default"/>
        <w:sz w:val="18"/>
      </w:rPr>
    </w:lvl>
    <w:lvl w:ilvl="2" w:tplc="FFFFFFFF">
      <w:start w:val="1"/>
      <w:numFmt w:val="bullet"/>
      <w:lvlText w:val="o"/>
      <w:lvlJc w:val="left"/>
      <w:pPr>
        <w:ind w:left="144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826A3"/>
    <w:multiLevelType w:val="hybridMultilevel"/>
    <w:tmpl w:val="E7CC2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9E4BF7"/>
    <w:multiLevelType w:val="hybridMultilevel"/>
    <w:tmpl w:val="3E7C8BD0"/>
    <w:lvl w:ilvl="0" w:tplc="517A0E0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0C65BE"/>
    <w:multiLevelType w:val="multilevel"/>
    <w:tmpl w:val="D66212CE"/>
    <w:lvl w:ilvl="0">
      <w:start w:val="1"/>
      <w:numFmt w:val="lowerLetter"/>
      <w:lvlText w:val="%1)"/>
      <w:lvlJc w:val="left"/>
      <w:pPr>
        <w:ind w:left="360" w:hanging="360"/>
      </w:pPr>
    </w:lvl>
    <w:lvl w:ilvl="1">
      <w:numFmt w:val="bullet"/>
      <w:lvlText w:val="•"/>
      <w:lvlJc w:val="left"/>
      <w:pPr>
        <w:ind w:left="1403" w:hanging="681"/>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C3C066F"/>
    <w:multiLevelType w:val="multilevel"/>
    <w:tmpl w:val="0F9AFE5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540"/>
        </w:tabs>
        <w:ind w:left="540" w:hanging="360"/>
      </w:pPr>
      <w:rPr>
        <w:rFonts w:ascii="Symbol" w:hAnsi="Symbol" w:hint="default"/>
        <w:sz w:val="20"/>
      </w:rPr>
    </w:lvl>
    <w:lvl w:ilvl="4" w:tentative="1">
      <w:start w:val="1"/>
      <w:numFmt w:val="bullet"/>
      <w:lvlText w:val=""/>
      <w:lvlJc w:val="left"/>
      <w:pPr>
        <w:tabs>
          <w:tab w:val="num" w:pos="1260"/>
        </w:tabs>
        <w:ind w:left="1260" w:hanging="360"/>
      </w:pPr>
      <w:rPr>
        <w:rFonts w:ascii="Symbol" w:hAnsi="Symbol" w:hint="default"/>
        <w:sz w:val="20"/>
      </w:rPr>
    </w:lvl>
    <w:lvl w:ilvl="5" w:tentative="1">
      <w:start w:val="1"/>
      <w:numFmt w:val="bullet"/>
      <w:lvlText w:val=""/>
      <w:lvlJc w:val="left"/>
      <w:pPr>
        <w:tabs>
          <w:tab w:val="num" w:pos="1980"/>
        </w:tabs>
        <w:ind w:left="1980" w:hanging="360"/>
      </w:pPr>
      <w:rPr>
        <w:rFonts w:ascii="Symbol" w:hAnsi="Symbol" w:hint="default"/>
        <w:sz w:val="20"/>
      </w:rPr>
    </w:lvl>
    <w:lvl w:ilvl="6" w:tentative="1">
      <w:start w:val="1"/>
      <w:numFmt w:val="bullet"/>
      <w:lvlText w:val=""/>
      <w:lvlJc w:val="left"/>
      <w:pPr>
        <w:tabs>
          <w:tab w:val="num" w:pos="2700"/>
        </w:tabs>
        <w:ind w:left="2700" w:hanging="360"/>
      </w:pPr>
      <w:rPr>
        <w:rFonts w:ascii="Symbol" w:hAnsi="Symbol" w:hint="default"/>
        <w:sz w:val="20"/>
      </w:rPr>
    </w:lvl>
    <w:lvl w:ilvl="7" w:tentative="1">
      <w:start w:val="1"/>
      <w:numFmt w:val="bullet"/>
      <w:lvlText w:val=""/>
      <w:lvlJc w:val="left"/>
      <w:pPr>
        <w:tabs>
          <w:tab w:val="num" w:pos="3420"/>
        </w:tabs>
        <w:ind w:left="3420" w:hanging="360"/>
      </w:pPr>
      <w:rPr>
        <w:rFonts w:ascii="Symbol" w:hAnsi="Symbol" w:hint="default"/>
        <w:sz w:val="20"/>
      </w:rPr>
    </w:lvl>
    <w:lvl w:ilvl="8" w:tentative="1">
      <w:start w:val="1"/>
      <w:numFmt w:val="bullet"/>
      <w:lvlText w:val=""/>
      <w:lvlJc w:val="left"/>
      <w:pPr>
        <w:tabs>
          <w:tab w:val="num" w:pos="4140"/>
        </w:tabs>
        <w:ind w:left="4140" w:hanging="360"/>
      </w:pPr>
      <w:rPr>
        <w:rFonts w:ascii="Symbol" w:hAnsi="Symbol" w:hint="default"/>
        <w:sz w:val="20"/>
      </w:rPr>
    </w:lvl>
  </w:abstractNum>
  <w:abstractNum w:abstractNumId="17" w15:restartNumberingAfterBreak="0">
    <w:nsid w:val="45B44B4A"/>
    <w:multiLevelType w:val="hybridMultilevel"/>
    <w:tmpl w:val="1182E998"/>
    <w:lvl w:ilvl="0" w:tplc="F3FCAB50">
      <w:start w:val="1"/>
      <w:numFmt w:val="decimal"/>
      <w:lvlText w:val="%1."/>
      <w:lvlJc w:val="left"/>
      <w:pPr>
        <w:ind w:left="720" w:hanging="360"/>
      </w:pPr>
      <w:rPr>
        <w:rFonts w:hint="default"/>
        <w:color w:val="auto"/>
        <w:sz w:val="20"/>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636F83"/>
    <w:multiLevelType w:val="hybridMultilevel"/>
    <w:tmpl w:val="B9185AEE"/>
    <w:lvl w:ilvl="0" w:tplc="B498B794">
      <w:start w:val="1"/>
      <w:numFmt w:val="decimal"/>
      <w:lvlText w:val="%1."/>
      <w:lvlJc w:val="left"/>
      <w:pPr>
        <w:tabs>
          <w:tab w:val="num" w:pos="720"/>
        </w:tabs>
        <w:ind w:left="720" w:hanging="360"/>
      </w:pPr>
      <w:rPr>
        <w:rFonts w:hint="default"/>
        <w:b/>
        <w:bCs/>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460833"/>
    <w:multiLevelType w:val="hybridMultilevel"/>
    <w:tmpl w:val="F66A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769A3"/>
    <w:multiLevelType w:val="multilevel"/>
    <w:tmpl w:val="214E16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3CA34F7"/>
    <w:multiLevelType w:val="hybridMultilevel"/>
    <w:tmpl w:val="187E128A"/>
    <w:lvl w:ilvl="0" w:tplc="B0C4C472">
      <w:start w:val="1"/>
      <w:numFmt w:val="decimal"/>
      <w:lvlText w:val="%1."/>
      <w:lvlJc w:val="left"/>
      <w:pPr>
        <w:ind w:left="360" w:hanging="360"/>
      </w:pPr>
      <w:rPr>
        <w:rFonts w:ascii="Arial" w:hAnsi="Arial" w:cs="Arial" w:hint="default"/>
        <w:sz w:val="22"/>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5032308"/>
    <w:multiLevelType w:val="hybridMultilevel"/>
    <w:tmpl w:val="B9185AEE"/>
    <w:lvl w:ilvl="0" w:tplc="B498B794">
      <w:start w:val="1"/>
      <w:numFmt w:val="decimal"/>
      <w:lvlText w:val="%1."/>
      <w:lvlJc w:val="left"/>
      <w:pPr>
        <w:tabs>
          <w:tab w:val="num" w:pos="720"/>
        </w:tabs>
        <w:ind w:left="720" w:hanging="360"/>
      </w:pPr>
      <w:rPr>
        <w:rFonts w:hint="default"/>
        <w:b/>
        <w:bCs/>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95260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EF276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713AB"/>
    <w:multiLevelType w:val="hybridMultilevel"/>
    <w:tmpl w:val="5434ABBC"/>
    <w:lvl w:ilvl="0" w:tplc="DB6EAAA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7F5EFD"/>
    <w:multiLevelType w:val="hybridMultilevel"/>
    <w:tmpl w:val="2D683564"/>
    <w:lvl w:ilvl="0" w:tplc="8C1486C2">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BC5505"/>
    <w:multiLevelType w:val="hybridMultilevel"/>
    <w:tmpl w:val="76DEC5B4"/>
    <w:lvl w:ilvl="0" w:tplc="E0A0DACE">
      <w:start w:val="2"/>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072C73"/>
    <w:multiLevelType w:val="hybridMultilevel"/>
    <w:tmpl w:val="D95C50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3F62C48"/>
    <w:multiLevelType w:val="hybridMultilevel"/>
    <w:tmpl w:val="664E2626"/>
    <w:lvl w:ilvl="0" w:tplc="FC28226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7C15FB"/>
    <w:multiLevelType w:val="multilevel"/>
    <w:tmpl w:val="F98AB850"/>
    <w:lvl w:ilvl="0">
      <w:start w:val="1"/>
      <w:numFmt w:val="decimal"/>
      <w:lvlText w:val="%1."/>
      <w:lvlJc w:val="left"/>
      <w:pPr>
        <w:ind w:left="360" w:hanging="360"/>
      </w:pPr>
      <w:rPr>
        <w:color w:val="2C56F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8A9617A"/>
    <w:multiLevelType w:val="hybridMultilevel"/>
    <w:tmpl w:val="C7A0E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CE21FF"/>
    <w:multiLevelType w:val="hybridMultilevel"/>
    <w:tmpl w:val="D4764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582B06"/>
    <w:multiLevelType w:val="multilevel"/>
    <w:tmpl w:val="69F8DE9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5B7497E"/>
    <w:multiLevelType w:val="multilevel"/>
    <w:tmpl w:val="6CA0B510"/>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36" w15:restartNumberingAfterBreak="0">
    <w:nsid w:val="7B4C72F5"/>
    <w:multiLevelType w:val="hybridMultilevel"/>
    <w:tmpl w:val="8B4EB088"/>
    <w:lvl w:ilvl="0" w:tplc="0716280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437691"/>
    <w:multiLevelType w:val="hybridMultilevel"/>
    <w:tmpl w:val="C9160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681220">
    <w:abstractNumId w:val="24"/>
  </w:num>
  <w:num w:numId="2" w16cid:durableId="2145266710">
    <w:abstractNumId w:val="23"/>
  </w:num>
  <w:num w:numId="3" w16cid:durableId="2137094974">
    <w:abstractNumId w:val="9"/>
  </w:num>
  <w:num w:numId="4" w16cid:durableId="896624984">
    <w:abstractNumId w:val="26"/>
  </w:num>
  <w:num w:numId="5" w16cid:durableId="339283025">
    <w:abstractNumId w:val="1"/>
  </w:num>
  <w:num w:numId="6" w16cid:durableId="299461066">
    <w:abstractNumId w:val="13"/>
  </w:num>
  <w:num w:numId="7" w16cid:durableId="2092851440">
    <w:abstractNumId w:val="3"/>
  </w:num>
  <w:num w:numId="8" w16cid:durableId="1979458317">
    <w:abstractNumId w:val="30"/>
  </w:num>
  <w:num w:numId="9" w16cid:durableId="972373261">
    <w:abstractNumId w:val="25"/>
  </w:num>
  <w:num w:numId="10" w16cid:durableId="653484841">
    <w:abstractNumId w:val="36"/>
  </w:num>
  <w:num w:numId="11" w16cid:durableId="1855457528">
    <w:abstractNumId w:val="32"/>
  </w:num>
  <w:num w:numId="12" w16cid:durableId="689989453">
    <w:abstractNumId w:val="22"/>
  </w:num>
  <w:num w:numId="13" w16cid:durableId="832136697">
    <w:abstractNumId w:val="27"/>
  </w:num>
  <w:num w:numId="14" w16cid:durableId="1629622830">
    <w:abstractNumId w:val="17"/>
  </w:num>
  <w:num w:numId="15" w16cid:durableId="243878409">
    <w:abstractNumId w:val="16"/>
  </w:num>
  <w:num w:numId="16" w16cid:durableId="746651728">
    <w:abstractNumId w:val="35"/>
  </w:num>
  <w:num w:numId="17" w16cid:durableId="98187824">
    <w:abstractNumId w:val="28"/>
  </w:num>
  <w:num w:numId="18" w16cid:durableId="1053164294">
    <w:abstractNumId w:val="14"/>
  </w:num>
  <w:num w:numId="19" w16cid:durableId="526219344">
    <w:abstractNumId w:val="8"/>
  </w:num>
  <w:num w:numId="20" w16cid:durableId="39671360">
    <w:abstractNumId w:val="11"/>
  </w:num>
  <w:num w:numId="21" w16cid:durableId="725302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95641">
    <w:abstractNumId w:val="6"/>
  </w:num>
  <w:num w:numId="23" w16cid:durableId="1522666288">
    <w:abstractNumId w:val="29"/>
  </w:num>
  <w:num w:numId="24" w16cid:durableId="311717145">
    <w:abstractNumId w:val="18"/>
  </w:num>
  <w:num w:numId="25" w16cid:durableId="947272354">
    <w:abstractNumId w:val="37"/>
  </w:num>
  <w:num w:numId="26" w16cid:durableId="1915895646">
    <w:abstractNumId w:val="19"/>
  </w:num>
  <w:num w:numId="27" w16cid:durableId="1083842339">
    <w:abstractNumId w:val="12"/>
  </w:num>
  <w:num w:numId="28" w16cid:durableId="1134369457">
    <w:abstractNumId w:val="21"/>
  </w:num>
  <w:num w:numId="29" w16cid:durableId="1760832884">
    <w:abstractNumId w:val="33"/>
  </w:num>
  <w:num w:numId="30" w16cid:durableId="1536696612">
    <w:abstractNumId w:val="2"/>
  </w:num>
  <w:num w:numId="31" w16cid:durableId="1533423760">
    <w:abstractNumId w:val="7"/>
  </w:num>
  <w:num w:numId="32" w16cid:durableId="1284194581">
    <w:abstractNumId w:val="0"/>
  </w:num>
  <w:num w:numId="33" w16cid:durableId="829448353">
    <w:abstractNumId w:val="31"/>
  </w:num>
  <w:num w:numId="34" w16cid:durableId="967859508">
    <w:abstractNumId w:val="20"/>
  </w:num>
  <w:num w:numId="35" w16cid:durableId="1493325722">
    <w:abstractNumId w:val="34"/>
  </w:num>
  <w:num w:numId="36" w16cid:durableId="163785344">
    <w:abstractNumId w:val="4"/>
  </w:num>
  <w:num w:numId="37" w16cid:durableId="787745842">
    <w:abstractNumId w:val="15"/>
  </w:num>
  <w:num w:numId="38" w16cid:durableId="55784868">
    <w:abstractNumId w:val="10"/>
  </w:num>
  <w:num w:numId="39" w16cid:durableId="336271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BE"/>
    <w:rsid w:val="000035F5"/>
    <w:rsid w:val="0002473F"/>
    <w:rsid w:val="00025DE1"/>
    <w:rsid w:val="00037364"/>
    <w:rsid w:val="0004069F"/>
    <w:rsid w:val="0004401B"/>
    <w:rsid w:val="00063F77"/>
    <w:rsid w:val="000701CC"/>
    <w:rsid w:val="00091F83"/>
    <w:rsid w:val="000A2B3E"/>
    <w:rsid w:val="000C7183"/>
    <w:rsid w:val="000C7AE9"/>
    <w:rsid w:val="000D01D0"/>
    <w:rsid w:val="000E1A21"/>
    <w:rsid w:val="000F0A6A"/>
    <w:rsid w:val="000F3F0B"/>
    <w:rsid w:val="00100222"/>
    <w:rsid w:val="00103681"/>
    <w:rsid w:val="00130C1E"/>
    <w:rsid w:val="0013146D"/>
    <w:rsid w:val="00150591"/>
    <w:rsid w:val="00170764"/>
    <w:rsid w:val="001746FA"/>
    <w:rsid w:val="00193133"/>
    <w:rsid w:val="0019761A"/>
    <w:rsid w:val="001A72BD"/>
    <w:rsid w:val="001C38B5"/>
    <w:rsid w:val="001C3C88"/>
    <w:rsid w:val="001D20C6"/>
    <w:rsid w:val="001D6DEF"/>
    <w:rsid w:val="001E16A3"/>
    <w:rsid w:val="001F6A28"/>
    <w:rsid w:val="00207709"/>
    <w:rsid w:val="00227E90"/>
    <w:rsid w:val="002313E9"/>
    <w:rsid w:val="00232B8E"/>
    <w:rsid w:val="002658F7"/>
    <w:rsid w:val="002702B8"/>
    <w:rsid w:val="00290DF9"/>
    <w:rsid w:val="00293569"/>
    <w:rsid w:val="002B0F46"/>
    <w:rsid w:val="002C10F8"/>
    <w:rsid w:val="002E5CD1"/>
    <w:rsid w:val="002F1628"/>
    <w:rsid w:val="00316CE1"/>
    <w:rsid w:val="003224ED"/>
    <w:rsid w:val="00335ACE"/>
    <w:rsid w:val="00343BD1"/>
    <w:rsid w:val="003555F6"/>
    <w:rsid w:val="00370ADA"/>
    <w:rsid w:val="0037119D"/>
    <w:rsid w:val="003925E3"/>
    <w:rsid w:val="003B1081"/>
    <w:rsid w:val="003B4CF2"/>
    <w:rsid w:val="003D4672"/>
    <w:rsid w:val="003E5B5D"/>
    <w:rsid w:val="004054D4"/>
    <w:rsid w:val="004163E6"/>
    <w:rsid w:val="00462B09"/>
    <w:rsid w:val="0047044E"/>
    <w:rsid w:val="00474D15"/>
    <w:rsid w:val="00480CFF"/>
    <w:rsid w:val="004A5743"/>
    <w:rsid w:val="004B480F"/>
    <w:rsid w:val="004F4148"/>
    <w:rsid w:val="004F639C"/>
    <w:rsid w:val="005141C5"/>
    <w:rsid w:val="005368C8"/>
    <w:rsid w:val="005379B2"/>
    <w:rsid w:val="00545330"/>
    <w:rsid w:val="00557888"/>
    <w:rsid w:val="0056411B"/>
    <w:rsid w:val="0058133C"/>
    <w:rsid w:val="005C278B"/>
    <w:rsid w:val="005C39E7"/>
    <w:rsid w:val="005C4C7C"/>
    <w:rsid w:val="005D27D9"/>
    <w:rsid w:val="005D70A0"/>
    <w:rsid w:val="005E2247"/>
    <w:rsid w:val="005F01F9"/>
    <w:rsid w:val="005F1239"/>
    <w:rsid w:val="00601F05"/>
    <w:rsid w:val="00611BF4"/>
    <w:rsid w:val="00645BA4"/>
    <w:rsid w:val="00690E75"/>
    <w:rsid w:val="00693421"/>
    <w:rsid w:val="00693BE1"/>
    <w:rsid w:val="006964B1"/>
    <w:rsid w:val="006A3033"/>
    <w:rsid w:val="006D09E7"/>
    <w:rsid w:val="006E50BE"/>
    <w:rsid w:val="006E664F"/>
    <w:rsid w:val="00712475"/>
    <w:rsid w:val="007129A6"/>
    <w:rsid w:val="00727B72"/>
    <w:rsid w:val="00732167"/>
    <w:rsid w:val="00737035"/>
    <w:rsid w:val="00774B12"/>
    <w:rsid w:val="00777A9F"/>
    <w:rsid w:val="00777E6A"/>
    <w:rsid w:val="00781566"/>
    <w:rsid w:val="00785619"/>
    <w:rsid w:val="00786B1B"/>
    <w:rsid w:val="007A0FE4"/>
    <w:rsid w:val="007A3560"/>
    <w:rsid w:val="007A7CC0"/>
    <w:rsid w:val="007A7ED1"/>
    <w:rsid w:val="007F23B6"/>
    <w:rsid w:val="007F4CEA"/>
    <w:rsid w:val="0080249A"/>
    <w:rsid w:val="008114C1"/>
    <w:rsid w:val="0081642A"/>
    <w:rsid w:val="008549CC"/>
    <w:rsid w:val="008665EE"/>
    <w:rsid w:val="00872099"/>
    <w:rsid w:val="00883F47"/>
    <w:rsid w:val="00886836"/>
    <w:rsid w:val="00891E45"/>
    <w:rsid w:val="00894625"/>
    <w:rsid w:val="0089590F"/>
    <w:rsid w:val="008A5D3E"/>
    <w:rsid w:val="008B12FB"/>
    <w:rsid w:val="008C41F7"/>
    <w:rsid w:val="008D2759"/>
    <w:rsid w:val="008E0443"/>
    <w:rsid w:val="008E637C"/>
    <w:rsid w:val="008F0FAB"/>
    <w:rsid w:val="00902A8C"/>
    <w:rsid w:val="009055D5"/>
    <w:rsid w:val="009409F7"/>
    <w:rsid w:val="00956680"/>
    <w:rsid w:val="00957F3E"/>
    <w:rsid w:val="00971F24"/>
    <w:rsid w:val="00973A1E"/>
    <w:rsid w:val="009B0A6A"/>
    <w:rsid w:val="009B1E46"/>
    <w:rsid w:val="009D2FD8"/>
    <w:rsid w:val="009E053A"/>
    <w:rsid w:val="009E39C0"/>
    <w:rsid w:val="009E43B4"/>
    <w:rsid w:val="00A07AA9"/>
    <w:rsid w:val="00A10C6E"/>
    <w:rsid w:val="00A23668"/>
    <w:rsid w:val="00A3182A"/>
    <w:rsid w:val="00A40B35"/>
    <w:rsid w:val="00A57376"/>
    <w:rsid w:val="00A6024F"/>
    <w:rsid w:val="00A73D2D"/>
    <w:rsid w:val="00A8616F"/>
    <w:rsid w:val="00A868F5"/>
    <w:rsid w:val="00AA5ECC"/>
    <w:rsid w:val="00AC0559"/>
    <w:rsid w:val="00AC11B5"/>
    <w:rsid w:val="00AC76E6"/>
    <w:rsid w:val="00AD3A76"/>
    <w:rsid w:val="00AE34A5"/>
    <w:rsid w:val="00B2132B"/>
    <w:rsid w:val="00B251FE"/>
    <w:rsid w:val="00B36785"/>
    <w:rsid w:val="00B8041A"/>
    <w:rsid w:val="00BA4829"/>
    <w:rsid w:val="00BF7285"/>
    <w:rsid w:val="00C01433"/>
    <w:rsid w:val="00C23007"/>
    <w:rsid w:val="00C4168C"/>
    <w:rsid w:val="00C44F95"/>
    <w:rsid w:val="00C45E16"/>
    <w:rsid w:val="00C5020E"/>
    <w:rsid w:val="00C70897"/>
    <w:rsid w:val="00C721AF"/>
    <w:rsid w:val="00C92010"/>
    <w:rsid w:val="00C92CCC"/>
    <w:rsid w:val="00C9649C"/>
    <w:rsid w:val="00CA585E"/>
    <w:rsid w:val="00CA7E34"/>
    <w:rsid w:val="00CC6A0C"/>
    <w:rsid w:val="00CF41C5"/>
    <w:rsid w:val="00D24252"/>
    <w:rsid w:val="00D40110"/>
    <w:rsid w:val="00D4312A"/>
    <w:rsid w:val="00D53158"/>
    <w:rsid w:val="00D635CF"/>
    <w:rsid w:val="00D67364"/>
    <w:rsid w:val="00DC7458"/>
    <w:rsid w:val="00DD36FB"/>
    <w:rsid w:val="00DD447F"/>
    <w:rsid w:val="00E02E55"/>
    <w:rsid w:val="00E04A07"/>
    <w:rsid w:val="00E1110F"/>
    <w:rsid w:val="00E36DB7"/>
    <w:rsid w:val="00E50E07"/>
    <w:rsid w:val="00E61A94"/>
    <w:rsid w:val="00E643AC"/>
    <w:rsid w:val="00E66D12"/>
    <w:rsid w:val="00E833E8"/>
    <w:rsid w:val="00E84A7E"/>
    <w:rsid w:val="00EA623C"/>
    <w:rsid w:val="00EB5554"/>
    <w:rsid w:val="00EE1286"/>
    <w:rsid w:val="00EF6A24"/>
    <w:rsid w:val="00F14777"/>
    <w:rsid w:val="00F25B04"/>
    <w:rsid w:val="00F30F7B"/>
    <w:rsid w:val="00F310F4"/>
    <w:rsid w:val="00F3247C"/>
    <w:rsid w:val="00F32698"/>
    <w:rsid w:val="00F46CB0"/>
    <w:rsid w:val="00F822E4"/>
    <w:rsid w:val="00F8276C"/>
    <w:rsid w:val="00FA7D64"/>
    <w:rsid w:val="00FC7A4B"/>
    <w:rsid w:val="00FD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38FC3"/>
  <w15:chartTrackingRefBased/>
  <w15:docId w15:val="{51F4D3F8-F608-4005-A9D2-A5291B7F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BE"/>
    <w:pPr>
      <w:spacing w:after="0" w:line="240" w:lineRule="auto"/>
    </w:pPr>
    <w:rPr>
      <w:rFonts w:ascii="Arial MT" w:eastAsia="Cambria" w:hAnsi="Arial MT" w:cs="Times New Roman"/>
      <w:sz w:val="26"/>
      <w:szCs w:val="20"/>
    </w:rPr>
  </w:style>
  <w:style w:type="paragraph" w:styleId="Heading1">
    <w:name w:val="heading 1"/>
    <w:basedOn w:val="Normal"/>
    <w:next w:val="Normal"/>
    <w:link w:val="Heading1Char"/>
    <w:uiPriority w:val="9"/>
    <w:qFormat/>
    <w:rsid w:val="006E50BE"/>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0BE"/>
    <w:rPr>
      <w:rFonts w:asciiTheme="majorHAnsi" w:eastAsiaTheme="majorEastAsia" w:hAnsiTheme="majorHAnsi" w:cstheme="majorBidi"/>
      <w:b/>
      <w:bCs/>
      <w:color w:val="2F5496" w:themeColor="accent1" w:themeShade="BF"/>
      <w:sz w:val="28"/>
      <w:szCs w:val="28"/>
      <w:lang w:val="en-US"/>
    </w:rPr>
  </w:style>
  <w:style w:type="paragraph" w:styleId="NormalWeb">
    <w:name w:val="Normal (Web)"/>
    <w:basedOn w:val="Normal"/>
    <w:uiPriority w:val="99"/>
    <w:unhideWhenUsed/>
    <w:rsid w:val="006E50BE"/>
    <w:rPr>
      <w:rFonts w:ascii="Calibri" w:eastAsiaTheme="minorHAnsi" w:hAnsi="Calibri" w:cs="Calibri"/>
      <w:sz w:val="22"/>
      <w:szCs w:val="22"/>
      <w:lang w:eastAsia="en-GB"/>
    </w:rPr>
  </w:style>
  <w:style w:type="character" w:styleId="Emphasis">
    <w:name w:val="Emphasis"/>
    <w:basedOn w:val="DefaultParagraphFont"/>
    <w:uiPriority w:val="20"/>
    <w:qFormat/>
    <w:rsid w:val="006E50BE"/>
    <w:rPr>
      <w:i/>
      <w:iCs/>
    </w:rPr>
  </w:style>
  <w:style w:type="paragraph" w:styleId="Header">
    <w:name w:val="header"/>
    <w:basedOn w:val="Normal"/>
    <w:link w:val="HeaderChar"/>
    <w:uiPriority w:val="99"/>
    <w:unhideWhenUsed/>
    <w:rsid w:val="00FD1B84"/>
    <w:pPr>
      <w:tabs>
        <w:tab w:val="center" w:pos="4513"/>
        <w:tab w:val="right" w:pos="9026"/>
      </w:tabs>
    </w:pPr>
  </w:style>
  <w:style w:type="character" w:customStyle="1" w:styleId="HeaderChar">
    <w:name w:val="Header Char"/>
    <w:basedOn w:val="DefaultParagraphFont"/>
    <w:link w:val="Header"/>
    <w:uiPriority w:val="99"/>
    <w:rsid w:val="00FD1B84"/>
    <w:rPr>
      <w:rFonts w:ascii="Arial MT" w:eastAsia="Cambria" w:hAnsi="Arial MT" w:cs="Times New Roman"/>
      <w:sz w:val="26"/>
      <w:szCs w:val="20"/>
    </w:rPr>
  </w:style>
  <w:style w:type="paragraph" w:styleId="Footer">
    <w:name w:val="footer"/>
    <w:basedOn w:val="Normal"/>
    <w:link w:val="FooterChar"/>
    <w:uiPriority w:val="99"/>
    <w:unhideWhenUsed/>
    <w:rsid w:val="00FD1B84"/>
    <w:pPr>
      <w:tabs>
        <w:tab w:val="center" w:pos="4513"/>
        <w:tab w:val="right" w:pos="9026"/>
      </w:tabs>
    </w:pPr>
  </w:style>
  <w:style w:type="character" w:customStyle="1" w:styleId="FooterChar">
    <w:name w:val="Footer Char"/>
    <w:basedOn w:val="DefaultParagraphFont"/>
    <w:link w:val="Footer"/>
    <w:uiPriority w:val="99"/>
    <w:rsid w:val="00FD1B84"/>
    <w:rPr>
      <w:rFonts w:ascii="Arial MT" w:eastAsia="Cambria" w:hAnsi="Arial MT" w:cs="Times New Roman"/>
      <w:sz w:val="26"/>
      <w:szCs w:val="20"/>
    </w:rPr>
  </w:style>
  <w:style w:type="table" w:styleId="TableGrid">
    <w:name w:val="Table Grid"/>
    <w:basedOn w:val="TableNormal"/>
    <w:uiPriority w:val="59"/>
    <w:rsid w:val="002F1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
    <w:basedOn w:val="Normal"/>
    <w:link w:val="ListParagraphChar"/>
    <w:uiPriority w:val="34"/>
    <w:qFormat/>
    <w:rsid w:val="000701CC"/>
    <w:pPr>
      <w:ind w:left="720"/>
      <w:contextualSpacing/>
    </w:pPr>
  </w:style>
  <w:style w:type="character" w:styleId="Hyperlink">
    <w:name w:val="Hyperlink"/>
    <w:basedOn w:val="DefaultParagraphFont"/>
    <w:uiPriority w:val="99"/>
    <w:unhideWhenUsed/>
    <w:rsid w:val="005379B2"/>
    <w:rPr>
      <w:color w:val="0563C1" w:themeColor="hyperlink"/>
      <w:u w:val="single"/>
    </w:rPr>
  </w:style>
  <w:style w:type="character" w:styleId="Strong">
    <w:name w:val="Strong"/>
    <w:basedOn w:val="DefaultParagraphFont"/>
    <w:uiPriority w:val="22"/>
    <w:qFormat/>
    <w:rsid w:val="005379B2"/>
    <w:rPr>
      <w:b/>
      <w:bCs/>
    </w:rPr>
  </w:style>
  <w:style w:type="paragraph" w:customStyle="1" w:styleId="paragraph">
    <w:name w:val="paragraph"/>
    <w:basedOn w:val="Normal"/>
    <w:uiPriority w:val="99"/>
    <w:rsid w:val="005F01F9"/>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5F01F9"/>
  </w:style>
  <w:style w:type="character" w:customStyle="1" w:styleId="eop">
    <w:name w:val="eop"/>
    <w:basedOn w:val="DefaultParagraphFont"/>
    <w:rsid w:val="005F01F9"/>
  </w:style>
  <w:style w:type="character" w:styleId="CommentReference">
    <w:name w:val="annotation reference"/>
    <w:basedOn w:val="DefaultParagraphFont"/>
    <w:uiPriority w:val="99"/>
    <w:semiHidden/>
    <w:unhideWhenUsed/>
    <w:rsid w:val="003925E3"/>
    <w:rPr>
      <w:sz w:val="16"/>
      <w:szCs w:val="16"/>
    </w:rPr>
  </w:style>
  <w:style w:type="paragraph" w:styleId="CommentText">
    <w:name w:val="annotation text"/>
    <w:basedOn w:val="Normal"/>
    <w:link w:val="CommentTextChar"/>
    <w:uiPriority w:val="99"/>
    <w:semiHidden/>
    <w:unhideWhenUsed/>
    <w:rsid w:val="003925E3"/>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925E3"/>
    <w:rPr>
      <w:sz w:val="20"/>
      <w:szCs w:val="20"/>
    </w:rPr>
  </w:style>
  <w:style w:type="character" w:styleId="UnresolvedMention">
    <w:name w:val="Unresolved Mention"/>
    <w:basedOn w:val="DefaultParagraphFont"/>
    <w:uiPriority w:val="99"/>
    <w:semiHidden/>
    <w:unhideWhenUsed/>
    <w:rsid w:val="00FC7A4B"/>
    <w:rPr>
      <w:color w:val="605E5C"/>
      <w:shd w:val="clear" w:color="auto" w:fill="E1DFDD"/>
    </w:rPr>
  </w:style>
  <w:style w:type="character" w:styleId="FollowedHyperlink">
    <w:name w:val="FollowedHyperlink"/>
    <w:basedOn w:val="DefaultParagraphFont"/>
    <w:uiPriority w:val="99"/>
    <w:semiHidden/>
    <w:unhideWhenUsed/>
    <w:rsid w:val="00F46CB0"/>
    <w:rPr>
      <w:color w:val="954F72" w:themeColor="followedHyperlink"/>
      <w:u w:val="single"/>
    </w:rPr>
  </w:style>
  <w:style w:type="character" w:customStyle="1" w:styleId="ListParagraphChar">
    <w:name w:val="List Paragraph Char"/>
    <w:aliases w:val="F5 List Paragraph Char,List Paragraph1 Char"/>
    <w:link w:val="ListParagraph"/>
    <w:uiPriority w:val="34"/>
    <w:locked/>
    <w:rsid w:val="00E66D12"/>
    <w:rPr>
      <w:rFonts w:ascii="Arial MT" w:eastAsia="Cambria" w:hAnsi="Arial MT"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iboroughmusichub.org/about-us/strategic-review-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iboroughmusichub.org/about-us/annual-reports/" TargetMode="External"/><Relationship Id="rId5" Type="http://schemas.openxmlformats.org/officeDocument/2006/relationships/styles" Target="styles.xml"/><Relationship Id="rId15" Type="http://schemas.openxmlformats.org/officeDocument/2006/relationships/hyperlink" Target="https://www.triboroughmusichub.org/media/3191/tri-borough-music-strategy-feb-2017-update.pdf" TargetMode="External"/><Relationship Id="rId10" Type="http://schemas.openxmlformats.org/officeDocument/2006/relationships/hyperlink" Target="http://www.triboroughmusichub.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1086619/The_Power_of_Music_to_Change_Liv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05FD17-755B-4A50-9B90-2ADD8F69A0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37410E-19C0-4C01-A439-EDAD91FF1E6A}">
  <ds:schemaRefs>
    <ds:schemaRef ds:uri="http://schemas.microsoft.com/sharepoint/v3/contenttype/forms"/>
  </ds:schemaRefs>
</ds:datastoreItem>
</file>

<file path=customXml/itemProps3.xml><?xml version="1.0" encoding="utf-8"?>
<ds:datastoreItem xmlns:ds="http://schemas.openxmlformats.org/officeDocument/2006/customXml" ds:itemID="{39CE68F5-DD05-42F6-8800-58D25B56B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Bi Borough</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CS-Schools: RBKC</dc:creator>
  <cp:keywords/>
  <dc:description/>
  <cp:lastModifiedBy>Whatmore, Stuart: RBKC</cp:lastModifiedBy>
  <cp:revision>49</cp:revision>
  <cp:lastPrinted>2020-01-27T14:16:00Z</cp:lastPrinted>
  <dcterms:created xsi:type="dcterms:W3CDTF">2022-03-06T15:40:00Z</dcterms:created>
  <dcterms:modified xsi:type="dcterms:W3CDTF">2023-09-01T15:51:00Z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