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CB26" w14:textId="69C4FE90" w:rsidR="005379B2" w:rsidRPr="00A3182A" w:rsidRDefault="00F25B04" w:rsidP="00F25B04">
      <w:pPr>
        <w:pStyle w:val="Heading1"/>
        <w:spacing w:before="0" w:after="0" w:line="240" w:lineRule="auto"/>
        <w:rPr>
          <w:rFonts w:ascii="Arial" w:hAnsi="Arial" w:cs="Arial"/>
          <w:sz w:val="22"/>
        </w:rPr>
      </w:pPr>
      <w:r w:rsidRPr="00A3182A">
        <w:rPr>
          <w:rFonts w:ascii="Arial" w:hAnsi="Arial" w:cs="Arial"/>
          <w:sz w:val="36"/>
        </w:rPr>
        <w:t>Tri-borough Music Hub</w:t>
      </w:r>
    </w:p>
    <w:p w14:paraId="285A2AC7" w14:textId="77777777" w:rsidR="005379B2" w:rsidRPr="00F25B04" w:rsidRDefault="005379B2" w:rsidP="00F25B04">
      <w:pPr>
        <w:pStyle w:val="Heading1"/>
        <w:spacing w:before="0" w:after="0" w:line="240" w:lineRule="auto"/>
        <w:rPr>
          <w:rFonts w:ascii="Arial" w:hAnsi="Arial" w:cs="Arial"/>
          <w:sz w:val="24"/>
        </w:rPr>
      </w:pPr>
      <w:bookmarkStart w:id="0" w:name="_Toc26279649"/>
      <w:r w:rsidRPr="00F25B04">
        <w:rPr>
          <w:rFonts w:ascii="Arial" w:hAnsi="Arial" w:cs="Arial"/>
          <w:sz w:val="24"/>
        </w:rPr>
        <w:t xml:space="preserve">Who we </w:t>
      </w:r>
      <w:proofErr w:type="gramStart"/>
      <w:r w:rsidRPr="00F25B04">
        <w:rPr>
          <w:rFonts w:ascii="Arial" w:hAnsi="Arial" w:cs="Arial"/>
          <w:sz w:val="24"/>
        </w:rPr>
        <w:t>are</w:t>
      </w:r>
      <w:bookmarkEnd w:id="0"/>
      <w:proofErr w:type="gramEnd"/>
    </w:p>
    <w:p w14:paraId="2627CBAB" w14:textId="5D41E4F7" w:rsidR="005379B2" w:rsidRPr="00F25B04" w:rsidRDefault="005379B2" w:rsidP="00F25B04">
      <w:pPr>
        <w:rPr>
          <w:rFonts w:ascii="Arial" w:hAnsi="Arial" w:cs="Arial"/>
          <w:sz w:val="22"/>
          <w:szCs w:val="23"/>
        </w:rPr>
      </w:pPr>
      <w:r w:rsidRPr="00F25B04">
        <w:rPr>
          <w:rFonts w:ascii="Arial" w:hAnsi="Arial" w:cs="Arial"/>
          <w:sz w:val="22"/>
          <w:szCs w:val="23"/>
        </w:rPr>
        <w:t>The</w:t>
      </w:r>
      <w:r w:rsidR="00F25B04" w:rsidRPr="00F25B04">
        <w:rPr>
          <w:rFonts w:ascii="Arial" w:hAnsi="Arial" w:cs="Arial"/>
          <w:sz w:val="22"/>
          <w:szCs w:val="23"/>
        </w:rPr>
        <w:t xml:space="preserve"> award-winning</w:t>
      </w:r>
      <w:r w:rsidRPr="00F25B04">
        <w:rPr>
          <w:rFonts w:ascii="Arial" w:hAnsi="Arial" w:cs="Arial"/>
          <w:sz w:val="22"/>
          <w:szCs w:val="23"/>
        </w:rPr>
        <w:t xml:space="preserve"> </w:t>
      </w:r>
      <w:hyperlink r:id="rId10" w:history="1">
        <w:r w:rsidRPr="00F25B04">
          <w:rPr>
            <w:rStyle w:val="Hyperlink"/>
            <w:rFonts w:ascii="Arial" w:hAnsi="Arial" w:cs="Arial"/>
            <w:sz w:val="22"/>
            <w:szCs w:val="23"/>
          </w:rPr>
          <w:t>Tri-borough Music Hub</w:t>
        </w:r>
      </w:hyperlink>
      <w:r w:rsidRPr="00F25B04">
        <w:rPr>
          <w:rFonts w:ascii="Arial" w:hAnsi="Arial" w:cs="Arial"/>
          <w:sz w:val="22"/>
          <w:szCs w:val="23"/>
        </w:rPr>
        <w:t xml:space="preserve"> (TBMH) is the lead organisation that oversees the delivery of music education in three West London boroughs - the London Borough of Hammersmith and Fulham; the Royal Borough of Kensington and Chelsea; and City of Westminster - working with schools, pupils, the workforce and the community. Through an agreed shared-services model, it is a centralised Local Authority service which receives core funding from the Department for Education via the Arts Council England</w:t>
      </w:r>
      <w:r w:rsidRPr="00F25B04">
        <w:rPr>
          <w:rFonts w:ascii="Arial" w:hAnsi="Arial" w:cs="Arial"/>
          <w:b/>
          <w:bCs/>
          <w:color w:val="00209F"/>
          <w:sz w:val="22"/>
          <w:szCs w:val="23"/>
        </w:rPr>
        <w:t xml:space="preserve"> </w:t>
      </w:r>
      <w:r w:rsidRPr="00F25B04">
        <w:rPr>
          <w:rFonts w:ascii="Arial" w:hAnsi="Arial" w:cs="Arial"/>
          <w:bCs/>
          <w:sz w:val="22"/>
          <w:szCs w:val="23"/>
        </w:rPr>
        <w:t>delivering an extensive programme of musical learning in and out of school.</w:t>
      </w:r>
      <w:r w:rsidRPr="00F25B04">
        <w:rPr>
          <w:rFonts w:ascii="Arial" w:hAnsi="Arial" w:cs="Arial"/>
          <w:sz w:val="22"/>
          <w:szCs w:val="23"/>
        </w:rPr>
        <w:t xml:space="preserve"> </w:t>
      </w:r>
    </w:p>
    <w:p w14:paraId="5FBD1B83" w14:textId="77777777" w:rsidR="005379B2" w:rsidRPr="00F25B04" w:rsidRDefault="005379B2" w:rsidP="00F25B04">
      <w:pPr>
        <w:rPr>
          <w:rFonts w:ascii="Arial" w:hAnsi="Arial" w:cs="Arial"/>
          <w:sz w:val="10"/>
          <w:szCs w:val="23"/>
        </w:rPr>
      </w:pPr>
    </w:p>
    <w:p w14:paraId="74D559DC" w14:textId="77777777" w:rsidR="005379B2" w:rsidRPr="00F25B04" w:rsidRDefault="005379B2" w:rsidP="00F25B04">
      <w:pPr>
        <w:rPr>
          <w:rFonts w:ascii="Arial" w:hAnsi="Arial" w:cs="Arial"/>
          <w:sz w:val="22"/>
          <w:szCs w:val="23"/>
        </w:rPr>
      </w:pPr>
      <w:r w:rsidRPr="00F25B04">
        <w:rPr>
          <w:rFonts w:ascii="Arial" w:hAnsi="Arial" w:cs="Arial"/>
          <w:sz w:val="22"/>
          <w:szCs w:val="23"/>
        </w:rPr>
        <w:t>Alongside the three Local Authorities, the TBMH Strategic Partners are two internationally renowned organisations - the Royal Albert Hall and the Royal College of Music. In addition, a dedicated and quality-assured group of delivery partner organisations, with evidence of a successful track record, work to meet the TBMH’s strategic aims and positively contribute to our stakeholders. The TBMH is a music-specific service focused on high quality outcomes inclusive of all learners. It recognises the numerous benefits that music can bring to everyone from all backgrounds and in all circumstances.</w:t>
      </w:r>
    </w:p>
    <w:p w14:paraId="5E741052" w14:textId="77777777" w:rsidR="00F25B04" w:rsidRPr="00A73D2D" w:rsidRDefault="00F25B04" w:rsidP="00F25B04">
      <w:pPr>
        <w:pStyle w:val="Heading1"/>
        <w:spacing w:before="0" w:after="0" w:line="240" w:lineRule="auto"/>
        <w:rPr>
          <w:rFonts w:ascii="Arial" w:hAnsi="Arial" w:cs="Arial"/>
          <w:sz w:val="6"/>
        </w:rPr>
      </w:pPr>
      <w:bookmarkStart w:id="1" w:name="_Toc4338199"/>
      <w:bookmarkStart w:id="2" w:name="_Toc26279650"/>
    </w:p>
    <w:p w14:paraId="73FA68B7" w14:textId="43F9BA7C" w:rsidR="005379B2" w:rsidRPr="00F25B04" w:rsidRDefault="005379B2" w:rsidP="00F25B04">
      <w:pPr>
        <w:pStyle w:val="Heading1"/>
        <w:spacing w:before="0" w:after="0" w:line="240" w:lineRule="auto"/>
        <w:rPr>
          <w:rFonts w:ascii="Arial" w:hAnsi="Arial" w:cs="Arial"/>
          <w:sz w:val="24"/>
        </w:rPr>
      </w:pPr>
      <w:r w:rsidRPr="00F25B04">
        <w:rPr>
          <w:rFonts w:ascii="Arial" w:hAnsi="Arial" w:cs="Arial"/>
          <w:sz w:val="24"/>
        </w:rPr>
        <w:t>Mission Statement</w:t>
      </w:r>
      <w:bookmarkEnd w:id="1"/>
      <w:bookmarkEnd w:id="2"/>
    </w:p>
    <w:p w14:paraId="68902984" w14:textId="228A67AA" w:rsidR="005379B2" w:rsidRPr="00F25B04" w:rsidRDefault="005379B2" w:rsidP="00F25B04">
      <w:pPr>
        <w:rPr>
          <w:rFonts w:ascii="Arial" w:hAnsi="Arial" w:cs="Arial"/>
          <w:sz w:val="22"/>
          <w:szCs w:val="23"/>
        </w:rPr>
      </w:pPr>
      <w:r w:rsidRPr="00F25B04">
        <w:rPr>
          <w:rFonts w:ascii="Arial" w:hAnsi="Arial" w:cs="Arial"/>
          <w:sz w:val="22"/>
          <w:szCs w:val="23"/>
        </w:rPr>
        <w:t xml:space="preserve">The </w:t>
      </w:r>
      <w:r w:rsidR="00A73D2D">
        <w:rPr>
          <w:rFonts w:ascii="Arial" w:hAnsi="Arial" w:cs="Arial"/>
          <w:sz w:val="22"/>
          <w:szCs w:val="23"/>
        </w:rPr>
        <w:t>TBMH</w:t>
      </w:r>
      <w:r w:rsidRPr="00F25B04">
        <w:rPr>
          <w:rFonts w:ascii="Arial" w:hAnsi="Arial" w:cs="Arial"/>
          <w:sz w:val="22"/>
          <w:szCs w:val="23"/>
        </w:rPr>
        <w:t xml:space="preserve"> aims to provide opportunities for all to develop a life-long love of music </w:t>
      </w:r>
      <w:r w:rsidR="00A73D2D">
        <w:rPr>
          <w:rFonts w:ascii="Arial" w:hAnsi="Arial" w:cs="Arial"/>
          <w:sz w:val="22"/>
          <w:szCs w:val="23"/>
        </w:rPr>
        <w:t>&amp;</w:t>
      </w:r>
      <w:r w:rsidRPr="00F25B04">
        <w:rPr>
          <w:rFonts w:ascii="Arial" w:hAnsi="Arial" w:cs="Arial"/>
          <w:sz w:val="22"/>
          <w:szCs w:val="23"/>
        </w:rPr>
        <w:t xml:space="preserve"> realise their musical potential whilst developing their personal</w:t>
      </w:r>
      <w:r w:rsidR="00A73D2D">
        <w:rPr>
          <w:rFonts w:ascii="Arial" w:hAnsi="Arial" w:cs="Arial"/>
          <w:sz w:val="22"/>
          <w:szCs w:val="23"/>
        </w:rPr>
        <w:t>/</w:t>
      </w:r>
      <w:r w:rsidRPr="00F25B04">
        <w:rPr>
          <w:rFonts w:ascii="Arial" w:hAnsi="Arial" w:cs="Arial"/>
          <w:sz w:val="22"/>
          <w:szCs w:val="23"/>
        </w:rPr>
        <w:t>social identity. A broad range of progressive musical pathways will be provided in partnership with outstanding music organisations that are committed to our ethos.</w:t>
      </w:r>
    </w:p>
    <w:p w14:paraId="7D95A2A9" w14:textId="77777777" w:rsidR="005379B2" w:rsidRPr="00A73D2D" w:rsidRDefault="005379B2" w:rsidP="00F25B04">
      <w:pPr>
        <w:rPr>
          <w:rFonts w:ascii="Arial" w:hAnsi="Arial" w:cs="Arial"/>
          <w:sz w:val="6"/>
          <w:szCs w:val="23"/>
        </w:rPr>
      </w:pPr>
    </w:p>
    <w:p w14:paraId="708E3B4E" w14:textId="77777777" w:rsidR="005379B2" w:rsidRPr="00F25B04" w:rsidRDefault="005379B2" w:rsidP="00F25B04">
      <w:pPr>
        <w:pStyle w:val="Heading1"/>
        <w:spacing w:before="0" w:after="0" w:line="240" w:lineRule="auto"/>
        <w:rPr>
          <w:rFonts w:ascii="Arial" w:hAnsi="Arial" w:cs="Arial"/>
          <w:sz w:val="24"/>
        </w:rPr>
      </w:pPr>
      <w:bookmarkStart w:id="3" w:name="_Toc26279651"/>
      <w:bookmarkStart w:id="4" w:name="_Toc4338200"/>
      <w:r w:rsidRPr="00F25B04">
        <w:rPr>
          <w:rFonts w:ascii="Arial" w:hAnsi="Arial" w:cs="Arial"/>
          <w:sz w:val="24"/>
        </w:rPr>
        <w:t>Vision</w:t>
      </w:r>
      <w:bookmarkEnd w:id="3"/>
      <w:r w:rsidRPr="00F25B04">
        <w:rPr>
          <w:rFonts w:ascii="Arial" w:hAnsi="Arial" w:cs="Arial"/>
          <w:sz w:val="24"/>
        </w:rPr>
        <w:t xml:space="preserve"> </w:t>
      </w:r>
      <w:bookmarkEnd w:id="4"/>
    </w:p>
    <w:p w14:paraId="1B8620BD" w14:textId="2AFD9097" w:rsidR="005379B2" w:rsidRPr="00F25B04" w:rsidRDefault="005379B2" w:rsidP="00F25B04">
      <w:pPr>
        <w:rPr>
          <w:rFonts w:ascii="Arial" w:hAnsi="Arial" w:cs="Arial"/>
          <w:sz w:val="22"/>
          <w:szCs w:val="23"/>
        </w:rPr>
      </w:pPr>
      <w:bookmarkStart w:id="5" w:name="_Toc474496798"/>
      <w:bookmarkStart w:id="6" w:name="_Toc498241714"/>
      <w:bookmarkStart w:id="7" w:name="_Toc498682840"/>
      <w:r w:rsidRPr="00F25B04">
        <w:rPr>
          <w:rFonts w:ascii="Arial" w:hAnsi="Arial" w:cs="Arial"/>
          <w:sz w:val="22"/>
          <w:szCs w:val="23"/>
        </w:rPr>
        <w:t>The vision for the TBMH is to build on the successes of the previous years of the TBMH partnership, ethos and approach to music engagement and progression. This includes embedding best-practice and implementing visionary and effective models of partnership work to effect comprehensive routes of engagement, opportunity and progression. This will support children, young people, families</w:t>
      </w:r>
      <w:r w:rsidR="00A3182A">
        <w:rPr>
          <w:rFonts w:ascii="Arial" w:hAnsi="Arial" w:cs="Arial"/>
          <w:sz w:val="22"/>
          <w:szCs w:val="23"/>
        </w:rPr>
        <w:t>, schools, workforce</w:t>
      </w:r>
      <w:r w:rsidRPr="00F25B04">
        <w:rPr>
          <w:rFonts w:ascii="Arial" w:hAnsi="Arial" w:cs="Arial"/>
          <w:sz w:val="22"/>
          <w:szCs w:val="23"/>
        </w:rPr>
        <w:t xml:space="preserve"> and the </w:t>
      </w:r>
      <w:r w:rsidR="00A3182A">
        <w:rPr>
          <w:rFonts w:ascii="Arial" w:hAnsi="Arial" w:cs="Arial"/>
          <w:sz w:val="22"/>
          <w:szCs w:val="23"/>
        </w:rPr>
        <w:t xml:space="preserve">wider </w:t>
      </w:r>
      <w:r w:rsidRPr="00F25B04">
        <w:rPr>
          <w:rFonts w:ascii="Arial" w:hAnsi="Arial" w:cs="Arial"/>
          <w:sz w:val="22"/>
          <w:szCs w:val="23"/>
        </w:rPr>
        <w:t xml:space="preserve">community of </w:t>
      </w:r>
      <w:r w:rsidR="00A3182A">
        <w:rPr>
          <w:rFonts w:ascii="Arial" w:hAnsi="Arial" w:cs="Arial"/>
          <w:sz w:val="22"/>
          <w:szCs w:val="23"/>
        </w:rPr>
        <w:t>Hammersmith &amp; Fulham, Kensington &amp; Chelsea, and Westminster</w:t>
      </w:r>
      <w:r w:rsidRPr="00F25B04">
        <w:rPr>
          <w:rFonts w:ascii="Arial" w:hAnsi="Arial" w:cs="Arial"/>
          <w:sz w:val="22"/>
          <w:szCs w:val="23"/>
        </w:rPr>
        <w:t>.</w:t>
      </w:r>
      <w:bookmarkEnd w:id="5"/>
      <w:bookmarkEnd w:id="6"/>
      <w:bookmarkEnd w:id="7"/>
      <w:r w:rsidRPr="00F25B04">
        <w:rPr>
          <w:rFonts w:ascii="Arial" w:hAnsi="Arial" w:cs="Arial"/>
          <w:sz w:val="22"/>
          <w:szCs w:val="23"/>
        </w:rPr>
        <w:t xml:space="preserve"> </w:t>
      </w:r>
    </w:p>
    <w:p w14:paraId="03A2C0D0" w14:textId="77777777" w:rsidR="005379B2" w:rsidRPr="00A73D2D" w:rsidRDefault="005379B2" w:rsidP="00F25B04">
      <w:pPr>
        <w:rPr>
          <w:rFonts w:ascii="Arial" w:eastAsiaTheme="majorEastAsia" w:hAnsi="Arial" w:cs="Arial"/>
          <w:b/>
          <w:bCs/>
          <w:color w:val="2F5496" w:themeColor="accent1" w:themeShade="BF"/>
          <w:sz w:val="6"/>
          <w:szCs w:val="28"/>
        </w:rPr>
      </w:pPr>
    </w:p>
    <w:p w14:paraId="15CBB059" w14:textId="77777777" w:rsidR="005379B2" w:rsidRPr="00F25B04" w:rsidRDefault="005379B2" w:rsidP="00F25B04">
      <w:pPr>
        <w:pStyle w:val="Heading1"/>
        <w:spacing w:before="0" w:after="0" w:line="240" w:lineRule="auto"/>
        <w:rPr>
          <w:rFonts w:ascii="Arial" w:hAnsi="Arial" w:cs="Arial"/>
          <w:sz w:val="24"/>
        </w:rPr>
      </w:pPr>
      <w:bookmarkStart w:id="8" w:name="_Toc26279652"/>
      <w:r w:rsidRPr="00F25B04">
        <w:rPr>
          <w:rFonts w:ascii="Arial" w:hAnsi="Arial" w:cs="Arial"/>
          <w:sz w:val="24"/>
        </w:rPr>
        <w:t>TBMH Priorities</w:t>
      </w:r>
      <w:bookmarkEnd w:id="8"/>
    </w:p>
    <w:tbl>
      <w:tblPr>
        <w:tblStyle w:val="TableGrid"/>
        <w:tblW w:w="10456" w:type="dxa"/>
        <w:jc w:val="center"/>
        <w:tblLook w:val="04A0" w:firstRow="1" w:lastRow="0" w:firstColumn="1" w:lastColumn="0" w:noHBand="0" w:noVBand="1"/>
      </w:tblPr>
      <w:tblGrid>
        <w:gridCol w:w="571"/>
        <w:gridCol w:w="1128"/>
        <w:gridCol w:w="8757"/>
      </w:tblGrid>
      <w:tr w:rsidR="00781566" w:rsidRPr="00F25B04" w14:paraId="182854DD" w14:textId="77777777" w:rsidTr="00F25B04">
        <w:trPr>
          <w:trHeight w:val="159"/>
          <w:jc w:val="center"/>
        </w:trPr>
        <w:tc>
          <w:tcPr>
            <w:tcW w:w="571" w:type="dxa"/>
          </w:tcPr>
          <w:p w14:paraId="3B407DDC" w14:textId="77777777" w:rsidR="00781566" w:rsidRPr="00F25B04" w:rsidRDefault="00781566" w:rsidP="00F25B04">
            <w:pPr>
              <w:pStyle w:val="Heading1"/>
              <w:spacing w:before="0" w:after="0" w:line="240" w:lineRule="auto"/>
              <w:outlineLvl w:val="0"/>
              <w:rPr>
                <w:rFonts w:ascii="Arial" w:hAnsi="Arial" w:cs="Arial"/>
                <w:sz w:val="20"/>
                <w:szCs w:val="24"/>
                <w:lang w:val="en-GB"/>
              </w:rPr>
            </w:pPr>
            <w:r w:rsidRPr="00F25B04">
              <w:rPr>
                <w:rFonts w:ascii="Arial" w:hAnsi="Arial" w:cs="Arial"/>
                <w:sz w:val="20"/>
                <w:szCs w:val="24"/>
                <w:lang w:val="en-GB"/>
              </w:rPr>
              <w:t>No.</w:t>
            </w:r>
          </w:p>
        </w:tc>
        <w:tc>
          <w:tcPr>
            <w:tcW w:w="1128" w:type="dxa"/>
          </w:tcPr>
          <w:p w14:paraId="3429293B" w14:textId="77777777" w:rsidR="00781566" w:rsidRPr="00F25B04" w:rsidRDefault="00781566" w:rsidP="00F25B04">
            <w:pPr>
              <w:pStyle w:val="Heading1"/>
              <w:spacing w:before="0" w:after="0" w:line="240" w:lineRule="auto"/>
              <w:outlineLvl w:val="0"/>
              <w:rPr>
                <w:rFonts w:ascii="Arial" w:hAnsi="Arial" w:cs="Arial"/>
                <w:sz w:val="20"/>
                <w:szCs w:val="24"/>
                <w:lang w:val="en-GB"/>
              </w:rPr>
            </w:pPr>
            <w:r w:rsidRPr="00F25B04">
              <w:rPr>
                <w:rFonts w:ascii="Arial" w:hAnsi="Arial" w:cs="Arial"/>
                <w:sz w:val="20"/>
                <w:szCs w:val="24"/>
                <w:lang w:val="en-GB"/>
              </w:rPr>
              <w:t>Focus</w:t>
            </w:r>
          </w:p>
        </w:tc>
        <w:tc>
          <w:tcPr>
            <w:tcW w:w="8757" w:type="dxa"/>
          </w:tcPr>
          <w:p w14:paraId="2A1F91C7" w14:textId="10066F72" w:rsidR="00781566" w:rsidRPr="00F25B04" w:rsidRDefault="00781566" w:rsidP="00F25B04">
            <w:pPr>
              <w:rPr>
                <w:rFonts w:ascii="Arial" w:hAnsi="Arial" w:cs="Arial"/>
                <w:sz w:val="20"/>
                <w:szCs w:val="24"/>
              </w:rPr>
            </w:pPr>
            <w:r w:rsidRPr="00F25B04">
              <w:rPr>
                <w:rFonts w:ascii="Arial" w:eastAsiaTheme="majorEastAsia" w:hAnsi="Arial" w:cs="Arial"/>
                <w:b/>
                <w:bCs/>
                <w:color w:val="2F5496" w:themeColor="accent1" w:themeShade="BF"/>
                <w:sz w:val="20"/>
                <w:szCs w:val="24"/>
              </w:rPr>
              <w:t>Priority</w:t>
            </w:r>
          </w:p>
        </w:tc>
      </w:tr>
      <w:tr w:rsidR="00781566" w:rsidRPr="00F25B04" w14:paraId="0091CD6D" w14:textId="77777777" w:rsidTr="00F25B04">
        <w:trPr>
          <w:trHeight w:val="161"/>
          <w:jc w:val="center"/>
        </w:trPr>
        <w:tc>
          <w:tcPr>
            <w:tcW w:w="571" w:type="dxa"/>
          </w:tcPr>
          <w:p w14:paraId="5E4C6665" w14:textId="77777777" w:rsidR="00781566" w:rsidRPr="00F25B04" w:rsidRDefault="00781566" w:rsidP="00F25B04">
            <w:pPr>
              <w:pStyle w:val="Heading1"/>
              <w:spacing w:before="0" w:after="0" w:line="240" w:lineRule="auto"/>
              <w:outlineLvl w:val="0"/>
              <w:rPr>
                <w:rFonts w:ascii="Arial" w:hAnsi="Arial" w:cs="Arial"/>
                <w:b w:val="0"/>
                <w:color w:val="auto"/>
                <w:sz w:val="20"/>
                <w:szCs w:val="20"/>
              </w:rPr>
            </w:pPr>
            <w:r w:rsidRPr="00F25B04">
              <w:rPr>
                <w:rFonts w:ascii="Arial" w:hAnsi="Arial" w:cs="Arial"/>
                <w:b w:val="0"/>
                <w:color w:val="auto"/>
                <w:sz w:val="20"/>
                <w:szCs w:val="20"/>
              </w:rPr>
              <w:t>1</w:t>
            </w:r>
          </w:p>
        </w:tc>
        <w:tc>
          <w:tcPr>
            <w:tcW w:w="1128" w:type="dxa"/>
          </w:tcPr>
          <w:p w14:paraId="34010ECD" w14:textId="77777777" w:rsidR="00781566" w:rsidRPr="00F25B04" w:rsidRDefault="00781566" w:rsidP="00F25B04">
            <w:pPr>
              <w:pStyle w:val="Heading1"/>
              <w:spacing w:before="0" w:after="0" w:line="240" w:lineRule="auto"/>
              <w:outlineLvl w:val="0"/>
              <w:rPr>
                <w:rFonts w:ascii="Arial" w:hAnsi="Arial" w:cs="Arial"/>
                <w:b w:val="0"/>
                <w:color w:val="auto"/>
                <w:sz w:val="20"/>
                <w:szCs w:val="20"/>
              </w:rPr>
            </w:pPr>
            <w:r w:rsidRPr="00F25B04">
              <w:rPr>
                <w:rFonts w:ascii="Arial" w:hAnsi="Arial" w:cs="Arial"/>
                <w:b w:val="0"/>
                <w:color w:val="auto"/>
                <w:sz w:val="20"/>
                <w:szCs w:val="20"/>
              </w:rPr>
              <w:t>Children</w:t>
            </w:r>
          </w:p>
        </w:tc>
        <w:tc>
          <w:tcPr>
            <w:tcW w:w="8757" w:type="dxa"/>
          </w:tcPr>
          <w:p w14:paraId="27A1ADB5" w14:textId="77777777" w:rsidR="00781566" w:rsidRPr="00E84A7E" w:rsidRDefault="00781566" w:rsidP="00F25B04">
            <w:pPr>
              <w:pStyle w:val="Heading1"/>
              <w:spacing w:before="0" w:after="0" w:line="240" w:lineRule="auto"/>
              <w:outlineLvl w:val="0"/>
              <w:rPr>
                <w:rFonts w:ascii="Arial" w:eastAsiaTheme="minorHAnsi" w:hAnsi="Arial" w:cs="Arial"/>
                <w:b w:val="0"/>
                <w:bCs w:val="0"/>
                <w:color w:val="C45911" w:themeColor="accent2" w:themeShade="BF"/>
                <w:sz w:val="20"/>
                <w:szCs w:val="20"/>
                <w:lang w:val="en-GB" w:eastAsia="en-GB"/>
              </w:rPr>
            </w:pPr>
            <w:r w:rsidRPr="00E84A7E">
              <w:rPr>
                <w:rFonts w:ascii="Arial" w:eastAsiaTheme="minorHAnsi" w:hAnsi="Arial" w:cs="Arial"/>
                <w:b w:val="0"/>
                <w:bCs w:val="0"/>
                <w:color w:val="C45911" w:themeColor="accent2" w:themeShade="BF"/>
                <w:sz w:val="20"/>
                <w:szCs w:val="20"/>
                <w:lang w:val="en-GB" w:eastAsia="en-GB"/>
              </w:rPr>
              <w:t>to support musical progression through a broad range of outstanding musical pathways for children and young people</w:t>
            </w:r>
          </w:p>
        </w:tc>
      </w:tr>
      <w:tr w:rsidR="00781566" w:rsidRPr="00F25B04" w14:paraId="5A7D046A" w14:textId="77777777" w:rsidTr="00F25B04">
        <w:trPr>
          <w:trHeight w:val="161"/>
          <w:jc w:val="center"/>
        </w:trPr>
        <w:tc>
          <w:tcPr>
            <w:tcW w:w="571" w:type="dxa"/>
          </w:tcPr>
          <w:p w14:paraId="74828BD0" w14:textId="77777777" w:rsidR="00781566" w:rsidRPr="00F25B04" w:rsidRDefault="00781566" w:rsidP="00F25B04">
            <w:pPr>
              <w:pStyle w:val="Heading1"/>
              <w:spacing w:before="0" w:after="0" w:line="240" w:lineRule="auto"/>
              <w:outlineLvl w:val="0"/>
              <w:rPr>
                <w:rFonts w:ascii="Arial" w:hAnsi="Arial" w:cs="Arial"/>
                <w:b w:val="0"/>
                <w:color w:val="auto"/>
                <w:sz w:val="20"/>
                <w:szCs w:val="20"/>
              </w:rPr>
            </w:pPr>
            <w:r w:rsidRPr="00F25B04">
              <w:rPr>
                <w:rFonts w:ascii="Arial" w:hAnsi="Arial" w:cs="Arial"/>
                <w:b w:val="0"/>
                <w:color w:val="auto"/>
                <w:sz w:val="20"/>
                <w:szCs w:val="20"/>
              </w:rPr>
              <w:t>2</w:t>
            </w:r>
          </w:p>
        </w:tc>
        <w:tc>
          <w:tcPr>
            <w:tcW w:w="1128" w:type="dxa"/>
          </w:tcPr>
          <w:p w14:paraId="4F3A93C3" w14:textId="77777777" w:rsidR="00781566" w:rsidRPr="00F25B04" w:rsidRDefault="00781566" w:rsidP="00F25B04">
            <w:pPr>
              <w:pStyle w:val="Heading1"/>
              <w:spacing w:before="0" w:after="0" w:line="240" w:lineRule="auto"/>
              <w:outlineLvl w:val="0"/>
              <w:rPr>
                <w:rFonts w:ascii="Arial" w:hAnsi="Arial" w:cs="Arial"/>
                <w:b w:val="0"/>
                <w:color w:val="auto"/>
                <w:sz w:val="20"/>
                <w:szCs w:val="20"/>
              </w:rPr>
            </w:pPr>
            <w:r w:rsidRPr="00F25B04">
              <w:rPr>
                <w:rFonts w:ascii="Arial" w:hAnsi="Arial" w:cs="Arial"/>
                <w:b w:val="0"/>
                <w:color w:val="auto"/>
                <w:sz w:val="20"/>
                <w:szCs w:val="20"/>
              </w:rPr>
              <w:t>Schools</w:t>
            </w:r>
          </w:p>
        </w:tc>
        <w:tc>
          <w:tcPr>
            <w:tcW w:w="8757" w:type="dxa"/>
          </w:tcPr>
          <w:p w14:paraId="1543861F" w14:textId="77777777" w:rsidR="00781566" w:rsidRPr="00E84A7E" w:rsidRDefault="00781566" w:rsidP="00F25B04">
            <w:pPr>
              <w:pStyle w:val="Heading1"/>
              <w:spacing w:before="0" w:after="0" w:line="240" w:lineRule="auto"/>
              <w:outlineLvl w:val="0"/>
              <w:rPr>
                <w:rFonts w:ascii="Arial" w:eastAsiaTheme="minorHAnsi" w:hAnsi="Arial" w:cs="Arial"/>
                <w:b w:val="0"/>
                <w:bCs w:val="0"/>
                <w:color w:val="C45911" w:themeColor="accent2" w:themeShade="BF"/>
                <w:sz w:val="20"/>
                <w:szCs w:val="20"/>
                <w:lang w:val="en-GB" w:eastAsia="en-GB"/>
              </w:rPr>
            </w:pPr>
            <w:r w:rsidRPr="00E84A7E">
              <w:rPr>
                <w:rFonts w:ascii="Arial" w:eastAsiaTheme="minorHAnsi" w:hAnsi="Arial" w:cs="Arial"/>
                <w:b w:val="0"/>
                <w:bCs w:val="0"/>
                <w:color w:val="C45911" w:themeColor="accent2" w:themeShade="BF"/>
                <w:sz w:val="20"/>
                <w:szCs w:val="20"/>
                <w:lang w:val="en-GB" w:eastAsia="en-GB"/>
              </w:rPr>
              <w:t>to engage with all schools to enhance the delivery of an effective music curriculum by supporting access to high-quality music education opportunities</w:t>
            </w:r>
          </w:p>
        </w:tc>
      </w:tr>
      <w:tr w:rsidR="00781566" w:rsidRPr="00F25B04" w14:paraId="6EC2C58F" w14:textId="77777777" w:rsidTr="00F25B04">
        <w:trPr>
          <w:trHeight w:val="159"/>
          <w:jc w:val="center"/>
        </w:trPr>
        <w:tc>
          <w:tcPr>
            <w:tcW w:w="571" w:type="dxa"/>
          </w:tcPr>
          <w:p w14:paraId="091F3658" w14:textId="77777777" w:rsidR="00781566" w:rsidRPr="00F25B04" w:rsidRDefault="00781566" w:rsidP="00F25B04">
            <w:pPr>
              <w:pStyle w:val="Heading1"/>
              <w:spacing w:before="0" w:after="0" w:line="240" w:lineRule="auto"/>
              <w:outlineLvl w:val="0"/>
              <w:rPr>
                <w:rFonts w:ascii="Arial" w:hAnsi="Arial" w:cs="Arial"/>
                <w:b w:val="0"/>
                <w:color w:val="auto"/>
                <w:sz w:val="20"/>
                <w:szCs w:val="20"/>
              </w:rPr>
            </w:pPr>
            <w:r w:rsidRPr="00F25B04">
              <w:rPr>
                <w:rFonts w:ascii="Arial" w:hAnsi="Arial" w:cs="Arial"/>
                <w:b w:val="0"/>
                <w:color w:val="auto"/>
                <w:sz w:val="20"/>
                <w:szCs w:val="20"/>
              </w:rPr>
              <w:t>3</w:t>
            </w:r>
          </w:p>
        </w:tc>
        <w:tc>
          <w:tcPr>
            <w:tcW w:w="1128" w:type="dxa"/>
          </w:tcPr>
          <w:p w14:paraId="0D748DA9" w14:textId="77777777" w:rsidR="00781566" w:rsidRPr="00F25B04" w:rsidRDefault="00781566" w:rsidP="00F25B04">
            <w:pPr>
              <w:pStyle w:val="Heading1"/>
              <w:spacing w:before="0" w:after="0" w:line="240" w:lineRule="auto"/>
              <w:outlineLvl w:val="0"/>
              <w:rPr>
                <w:rFonts w:ascii="Arial" w:hAnsi="Arial" w:cs="Arial"/>
                <w:b w:val="0"/>
                <w:color w:val="auto"/>
                <w:sz w:val="20"/>
                <w:szCs w:val="20"/>
              </w:rPr>
            </w:pPr>
            <w:r w:rsidRPr="00F25B04">
              <w:rPr>
                <w:rFonts w:ascii="Arial" w:hAnsi="Arial" w:cs="Arial"/>
                <w:b w:val="0"/>
                <w:color w:val="auto"/>
                <w:sz w:val="20"/>
                <w:szCs w:val="20"/>
              </w:rPr>
              <w:t>Workforce</w:t>
            </w:r>
          </w:p>
        </w:tc>
        <w:tc>
          <w:tcPr>
            <w:tcW w:w="8757" w:type="dxa"/>
          </w:tcPr>
          <w:p w14:paraId="4B6B4F01" w14:textId="77777777" w:rsidR="00781566" w:rsidRPr="00E84A7E" w:rsidRDefault="00781566" w:rsidP="00F25B04">
            <w:pPr>
              <w:pStyle w:val="Heading1"/>
              <w:spacing w:before="0" w:after="0" w:line="240" w:lineRule="auto"/>
              <w:outlineLvl w:val="0"/>
              <w:rPr>
                <w:rFonts w:ascii="Arial" w:eastAsiaTheme="minorHAnsi" w:hAnsi="Arial" w:cs="Arial"/>
                <w:b w:val="0"/>
                <w:bCs w:val="0"/>
                <w:color w:val="C45911" w:themeColor="accent2" w:themeShade="BF"/>
                <w:sz w:val="20"/>
                <w:szCs w:val="20"/>
                <w:lang w:val="en-GB" w:eastAsia="en-GB"/>
              </w:rPr>
            </w:pPr>
            <w:r w:rsidRPr="00E84A7E">
              <w:rPr>
                <w:rFonts w:ascii="Arial" w:eastAsiaTheme="minorHAnsi" w:hAnsi="Arial" w:cs="Arial"/>
                <w:b w:val="0"/>
                <w:bCs w:val="0"/>
                <w:color w:val="C45911" w:themeColor="accent2" w:themeShade="BF"/>
                <w:sz w:val="20"/>
                <w:szCs w:val="20"/>
                <w:lang w:val="en-GB" w:eastAsia="en-GB"/>
              </w:rPr>
              <w:t xml:space="preserve">to provide a broad range of effective workforce development opportunities that enhance the quality of music education delivery </w:t>
            </w:r>
          </w:p>
        </w:tc>
      </w:tr>
      <w:tr w:rsidR="00781566" w:rsidRPr="00F25B04" w14:paraId="0A170F73" w14:textId="77777777" w:rsidTr="00F25B04">
        <w:trPr>
          <w:trHeight w:val="161"/>
          <w:jc w:val="center"/>
        </w:trPr>
        <w:tc>
          <w:tcPr>
            <w:tcW w:w="571" w:type="dxa"/>
          </w:tcPr>
          <w:p w14:paraId="4121E3E1" w14:textId="77777777" w:rsidR="00781566" w:rsidRPr="00F25B04" w:rsidRDefault="00781566" w:rsidP="00F25B04">
            <w:pPr>
              <w:pStyle w:val="NormalWeb"/>
              <w:rPr>
                <w:rFonts w:ascii="Arial" w:hAnsi="Arial" w:cs="Arial"/>
                <w:sz w:val="20"/>
                <w:szCs w:val="20"/>
              </w:rPr>
            </w:pPr>
            <w:r w:rsidRPr="00F25B04">
              <w:rPr>
                <w:rFonts w:ascii="Arial" w:hAnsi="Arial" w:cs="Arial"/>
                <w:sz w:val="20"/>
                <w:szCs w:val="20"/>
              </w:rPr>
              <w:t>4</w:t>
            </w:r>
          </w:p>
        </w:tc>
        <w:tc>
          <w:tcPr>
            <w:tcW w:w="1128" w:type="dxa"/>
          </w:tcPr>
          <w:p w14:paraId="4C2FFBFD" w14:textId="77777777" w:rsidR="00781566" w:rsidRPr="00F25B04" w:rsidRDefault="00781566" w:rsidP="00F25B04">
            <w:pPr>
              <w:pStyle w:val="NormalWeb"/>
              <w:rPr>
                <w:rFonts w:ascii="Arial" w:hAnsi="Arial" w:cs="Arial"/>
                <w:sz w:val="20"/>
                <w:szCs w:val="20"/>
              </w:rPr>
            </w:pPr>
            <w:r w:rsidRPr="00F25B04">
              <w:rPr>
                <w:rFonts w:ascii="Arial" w:hAnsi="Arial" w:cs="Arial"/>
                <w:sz w:val="20"/>
                <w:szCs w:val="20"/>
              </w:rPr>
              <w:t>Families</w:t>
            </w:r>
          </w:p>
        </w:tc>
        <w:tc>
          <w:tcPr>
            <w:tcW w:w="8757" w:type="dxa"/>
          </w:tcPr>
          <w:p w14:paraId="67E2FD29" w14:textId="77777777" w:rsidR="00781566" w:rsidRPr="00E84A7E" w:rsidRDefault="00781566" w:rsidP="00F25B04">
            <w:pPr>
              <w:rPr>
                <w:rFonts w:ascii="Arial" w:hAnsi="Arial" w:cs="Arial"/>
                <w:color w:val="C45911" w:themeColor="accent2" w:themeShade="BF"/>
                <w:sz w:val="24"/>
              </w:rPr>
            </w:pPr>
            <w:r w:rsidRPr="00E84A7E">
              <w:rPr>
                <w:rFonts w:ascii="Arial" w:eastAsiaTheme="minorHAnsi" w:hAnsi="Arial" w:cs="Arial"/>
                <w:color w:val="C45911" w:themeColor="accent2" w:themeShade="BF"/>
                <w:sz w:val="20"/>
                <w:lang w:eastAsia="en-GB"/>
              </w:rPr>
              <w:t>to support family and community engagement in music education through opportunities led by our diverse range of partner organisations</w:t>
            </w:r>
          </w:p>
        </w:tc>
      </w:tr>
    </w:tbl>
    <w:p w14:paraId="6D979502" w14:textId="77777777" w:rsidR="005379B2" w:rsidRPr="00F25B04" w:rsidRDefault="005379B2" w:rsidP="00F25B04">
      <w:pPr>
        <w:pStyle w:val="NormalWeb"/>
        <w:rPr>
          <w:rFonts w:ascii="Arial" w:hAnsi="Arial" w:cs="Arial"/>
          <w:sz w:val="20"/>
        </w:rPr>
      </w:pPr>
      <w:r w:rsidRPr="00F25B04">
        <w:rPr>
          <w:rFonts w:ascii="Arial" w:hAnsi="Arial" w:cs="Arial"/>
          <w:sz w:val="20"/>
        </w:rPr>
        <w:t>These service priorities are underpinned by 5 overarching themes of all provision:</w:t>
      </w:r>
    </w:p>
    <w:p w14:paraId="65AAEE07" w14:textId="55A421CD" w:rsidR="005379B2" w:rsidRPr="00E84A7E" w:rsidRDefault="005379B2" w:rsidP="00F25B04">
      <w:pPr>
        <w:rPr>
          <w:rFonts w:ascii="Arial" w:eastAsiaTheme="majorEastAsia" w:hAnsi="Arial" w:cs="Arial"/>
          <w:b/>
          <w:bCs/>
          <w:color w:val="C45911" w:themeColor="accent2" w:themeShade="BF"/>
          <w:sz w:val="24"/>
          <w:szCs w:val="28"/>
        </w:rPr>
      </w:pPr>
      <w:r w:rsidRPr="00E84A7E">
        <w:rPr>
          <w:rFonts w:ascii="Arial" w:hAnsi="Arial" w:cs="Arial"/>
          <w:b/>
          <w:bCs/>
          <w:color w:val="C45911" w:themeColor="accent2" w:themeShade="BF"/>
          <w:sz w:val="22"/>
        </w:rPr>
        <w:t>Inclusive — Exceptional — Inspiring— Progressive — Sustainable</w:t>
      </w:r>
      <w:bookmarkStart w:id="9" w:name="_Toc4338203"/>
    </w:p>
    <w:p w14:paraId="319342B3" w14:textId="77777777" w:rsidR="00F25B04" w:rsidRPr="00A73D2D" w:rsidRDefault="00F25B04" w:rsidP="00F25B04">
      <w:pPr>
        <w:pStyle w:val="Heading1"/>
        <w:spacing w:before="0" w:after="0" w:line="240" w:lineRule="auto"/>
        <w:rPr>
          <w:rFonts w:ascii="Arial" w:hAnsi="Arial" w:cs="Arial"/>
          <w:sz w:val="6"/>
        </w:rPr>
      </w:pPr>
      <w:bookmarkStart w:id="10" w:name="_Toc26279653"/>
    </w:p>
    <w:p w14:paraId="4451FE5E" w14:textId="77777777" w:rsidR="005F01F9" w:rsidRPr="00132EF7" w:rsidRDefault="005F01F9" w:rsidP="005F01F9">
      <w:pPr>
        <w:pStyle w:val="Heading1"/>
        <w:spacing w:before="0" w:after="0" w:line="240" w:lineRule="auto"/>
        <w:rPr>
          <w:rFonts w:ascii="Arial" w:hAnsi="Arial" w:cs="Arial"/>
          <w:sz w:val="24"/>
        </w:rPr>
      </w:pPr>
      <w:r w:rsidRPr="000F3725">
        <w:rPr>
          <w:rFonts w:ascii="Arial" w:hAnsi="Arial" w:cs="Arial"/>
          <w:sz w:val="24"/>
        </w:rPr>
        <w:t>Music Education for All </w:t>
      </w:r>
    </w:p>
    <w:p w14:paraId="18983B89" w14:textId="12ACC423" w:rsidR="005F01F9" w:rsidRDefault="005F01F9" w:rsidP="005F01F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TBMH works hard to provide a fully inclusive service and we are committed to addressing any potential inequalities from the full Equality Act, and that our outputs cover all aspects of equality, diversity and inclusion. All areas of our service must be fully inclusive and free of racism or any kind of discrimination. We feel it is important that we speak out against acts of intolerance and racism, and that we create a workspace where we can share, listen and learn from each other, with respect for different perspectives and backgrounds. We continue to evolve, develop, reflect, learn and grow as a Music Education Hub, and we strive to ensure that we can respond to needs. It is an ongoing process which we believe in.</w:t>
      </w:r>
      <w:r>
        <w:rPr>
          <w:rStyle w:val="eop"/>
          <w:rFonts w:ascii="Arial" w:hAnsi="Arial" w:cs="Arial"/>
          <w:sz w:val="22"/>
          <w:szCs w:val="22"/>
        </w:rPr>
        <w:t> </w:t>
      </w:r>
    </w:p>
    <w:p w14:paraId="08ED24D8" w14:textId="77777777" w:rsidR="005F01F9" w:rsidRPr="009055D5" w:rsidRDefault="005F01F9" w:rsidP="005F01F9">
      <w:pPr>
        <w:pStyle w:val="paragraph"/>
        <w:spacing w:before="0" w:beforeAutospacing="0" w:after="0" w:afterAutospacing="0"/>
        <w:textAlignment w:val="baseline"/>
        <w:rPr>
          <w:rFonts w:ascii="Segoe UI" w:hAnsi="Segoe UI" w:cs="Segoe UI"/>
          <w:sz w:val="4"/>
          <w:szCs w:val="4"/>
        </w:rPr>
      </w:pPr>
    </w:p>
    <w:p w14:paraId="29F156C8" w14:textId="77777777" w:rsidR="00F25B04" w:rsidRPr="00F25B04" w:rsidRDefault="00F25B04" w:rsidP="00F25B04">
      <w:pPr>
        <w:pStyle w:val="Heading1"/>
        <w:spacing w:before="0" w:after="0" w:line="240" w:lineRule="auto"/>
        <w:rPr>
          <w:rFonts w:ascii="Arial" w:hAnsi="Arial" w:cs="Arial"/>
          <w:sz w:val="24"/>
        </w:rPr>
      </w:pPr>
      <w:r w:rsidRPr="00F25B04">
        <w:rPr>
          <w:rFonts w:ascii="Arial" w:hAnsi="Arial" w:cs="Arial"/>
          <w:sz w:val="24"/>
        </w:rPr>
        <w:t>Core and Extension Roles (ACE/DfE)</w:t>
      </w:r>
    </w:p>
    <w:p w14:paraId="2A9AF96B" w14:textId="77777777" w:rsidR="00F25B04" w:rsidRPr="00F25B04" w:rsidRDefault="00F25B04" w:rsidP="00F25B04">
      <w:pPr>
        <w:rPr>
          <w:rFonts w:ascii="Arial" w:hAnsi="Arial" w:cs="Arial"/>
          <w:sz w:val="22"/>
        </w:rPr>
      </w:pPr>
      <w:r w:rsidRPr="00F25B04">
        <w:rPr>
          <w:rFonts w:ascii="Arial" w:hAnsi="Arial" w:cs="Arial"/>
          <w:sz w:val="22"/>
        </w:rPr>
        <w:t>Every Music Education Hub in England must deliver against the core and extension roles as laid out in the National Plan for Music Education.</w:t>
      </w:r>
    </w:p>
    <w:p w14:paraId="61CBDD43" w14:textId="77777777" w:rsidR="00F25B04" w:rsidRPr="00F25B04" w:rsidRDefault="00F25B04" w:rsidP="00F25B04">
      <w:pPr>
        <w:rPr>
          <w:rFonts w:ascii="Arial" w:hAnsi="Arial" w:cs="Arial"/>
          <w:b/>
          <w:sz w:val="22"/>
        </w:rPr>
      </w:pPr>
      <w:bookmarkStart w:id="11" w:name="_Hlk31026936"/>
      <w:r w:rsidRPr="00F25B04">
        <w:rPr>
          <w:rFonts w:ascii="Arial" w:hAnsi="Arial" w:cs="Arial"/>
          <w:b/>
          <w:sz w:val="22"/>
        </w:rPr>
        <w:t>National Plan for Music Education – Core Roles</w:t>
      </w:r>
    </w:p>
    <w:p w14:paraId="64F447A0" w14:textId="77777777" w:rsidR="00F25B04" w:rsidRPr="00316CE1" w:rsidRDefault="00F25B04" w:rsidP="00F25B04">
      <w:pPr>
        <w:pStyle w:val="ListParagraph"/>
        <w:numPr>
          <w:ilvl w:val="0"/>
          <w:numId w:val="14"/>
        </w:numPr>
        <w:rPr>
          <w:rFonts w:ascii="Arial" w:hAnsi="Arial" w:cs="Arial"/>
          <w:sz w:val="18"/>
          <w:szCs w:val="18"/>
        </w:rPr>
      </w:pPr>
      <w:r w:rsidRPr="00316CE1">
        <w:rPr>
          <w:rFonts w:ascii="Arial" w:hAnsi="Arial" w:cs="Arial"/>
          <w:sz w:val="18"/>
          <w:szCs w:val="18"/>
        </w:rPr>
        <w:t xml:space="preserve">Ensure that every child aged 5-18 has the opportunity to </w:t>
      </w:r>
      <w:r w:rsidRPr="00316CE1">
        <w:rPr>
          <w:rFonts w:ascii="Arial" w:hAnsi="Arial" w:cs="Arial"/>
          <w:b/>
          <w:color w:val="4472C4" w:themeColor="accent1"/>
          <w:sz w:val="18"/>
          <w:szCs w:val="18"/>
        </w:rPr>
        <w:t xml:space="preserve">learn a musical instrument </w:t>
      </w:r>
      <w:r w:rsidRPr="00316CE1">
        <w:rPr>
          <w:rFonts w:ascii="Arial" w:hAnsi="Arial" w:cs="Arial"/>
          <w:sz w:val="18"/>
          <w:szCs w:val="18"/>
        </w:rPr>
        <w:t>(other than voice) through whole-class ensemble teaching programme for ideally one year (but a minimum of one term) of weekly tuition on the same instrument.</w:t>
      </w:r>
    </w:p>
    <w:p w14:paraId="0A6CC1BC" w14:textId="77777777" w:rsidR="00F25B04" w:rsidRPr="00316CE1" w:rsidRDefault="00F25B04" w:rsidP="00F25B04">
      <w:pPr>
        <w:pStyle w:val="ListParagraph"/>
        <w:numPr>
          <w:ilvl w:val="0"/>
          <w:numId w:val="14"/>
        </w:numPr>
        <w:rPr>
          <w:rFonts w:ascii="Arial" w:hAnsi="Arial" w:cs="Arial"/>
          <w:sz w:val="18"/>
          <w:szCs w:val="18"/>
        </w:rPr>
      </w:pPr>
      <w:r w:rsidRPr="00316CE1">
        <w:rPr>
          <w:rFonts w:ascii="Arial" w:hAnsi="Arial" w:cs="Arial"/>
          <w:sz w:val="18"/>
          <w:szCs w:val="18"/>
        </w:rPr>
        <w:t xml:space="preserve">Provide opportunities to </w:t>
      </w:r>
      <w:r w:rsidRPr="00316CE1">
        <w:rPr>
          <w:rFonts w:ascii="Arial" w:hAnsi="Arial" w:cs="Arial"/>
          <w:b/>
          <w:color w:val="4472C4" w:themeColor="accent1"/>
          <w:sz w:val="18"/>
          <w:szCs w:val="18"/>
        </w:rPr>
        <w:t>play in ensembles and to perform</w:t>
      </w:r>
      <w:r w:rsidRPr="00316CE1">
        <w:rPr>
          <w:rFonts w:ascii="Arial" w:hAnsi="Arial" w:cs="Arial"/>
          <w:color w:val="4472C4" w:themeColor="accent1"/>
          <w:sz w:val="18"/>
          <w:szCs w:val="18"/>
        </w:rPr>
        <w:t xml:space="preserve"> </w:t>
      </w:r>
      <w:r w:rsidRPr="00316CE1">
        <w:rPr>
          <w:rFonts w:ascii="Arial" w:hAnsi="Arial" w:cs="Arial"/>
          <w:sz w:val="18"/>
          <w:szCs w:val="18"/>
        </w:rPr>
        <w:t>from an early stage.</w:t>
      </w:r>
    </w:p>
    <w:p w14:paraId="0950FF66" w14:textId="77777777" w:rsidR="00F25B04" w:rsidRPr="00316CE1" w:rsidRDefault="00F25B04" w:rsidP="00F25B04">
      <w:pPr>
        <w:pStyle w:val="ListParagraph"/>
        <w:numPr>
          <w:ilvl w:val="0"/>
          <w:numId w:val="14"/>
        </w:numPr>
        <w:spacing w:after="200"/>
        <w:rPr>
          <w:rFonts w:ascii="Arial" w:hAnsi="Arial" w:cs="Arial"/>
          <w:sz w:val="18"/>
          <w:szCs w:val="18"/>
        </w:rPr>
      </w:pPr>
      <w:r w:rsidRPr="00316CE1">
        <w:rPr>
          <w:rFonts w:ascii="Arial" w:hAnsi="Arial" w:cs="Arial"/>
          <w:sz w:val="18"/>
          <w:szCs w:val="18"/>
        </w:rPr>
        <w:t xml:space="preserve">Ensure that clear </w:t>
      </w:r>
      <w:r w:rsidRPr="00316CE1">
        <w:rPr>
          <w:rFonts w:ascii="Arial" w:hAnsi="Arial" w:cs="Arial"/>
          <w:b/>
          <w:color w:val="4472C4" w:themeColor="accent1"/>
          <w:sz w:val="18"/>
          <w:szCs w:val="18"/>
        </w:rPr>
        <w:t>progression routes are available and affordable</w:t>
      </w:r>
      <w:r w:rsidRPr="00316CE1">
        <w:rPr>
          <w:rFonts w:ascii="Arial" w:hAnsi="Arial" w:cs="Arial"/>
          <w:color w:val="4472C4" w:themeColor="accent1"/>
          <w:sz w:val="18"/>
          <w:szCs w:val="18"/>
        </w:rPr>
        <w:t xml:space="preserve"> </w:t>
      </w:r>
      <w:r w:rsidRPr="00316CE1">
        <w:rPr>
          <w:rFonts w:ascii="Arial" w:hAnsi="Arial" w:cs="Arial"/>
          <w:sz w:val="18"/>
          <w:szCs w:val="18"/>
        </w:rPr>
        <w:t>to all young people.</w:t>
      </w:r>
    </w:p>
    <w:p w14:paraId="1F76A264" w14:textId="172E650B" w:rsidR="00316CE1" w:rsidRPr="00316CE1" w:rsidRDefault="00F25B04" w:rsidP="00316CE1">
      <w:pPr>
        <w:pStyle w:val="ListParagraph"/>
        <w:numPr>
          <w:ilvl w:val="0"/>
          <w:numId w:val="14"/>
        </w:numPr>
        <w:rPr>
          <w:rFonts w:ascii="Arial" w:hAnsi="Arial" w:cs="Arial"/>
          <w:sz w:val="18"/>
          <w:szCs w:val="18"/>
        </w:rPr>
      </w:pPr>
      <w:r w:rsidRPr="00316CE1">
        <w:rPr>
          <w:rFonts w:ascii="Arial" w:hAnsi="Arial" w:cs="Arial"/>
          <w:sz w:val="18"/>
          <w:szCs w:val="18"/>
        </w:rPr>
        <w:t xml:space="preserve">Develop a </w:t>
      </w:r>
      <w:r w:rsidRPr="00316CE1">
        <w:rPr>
          <w:rFonts w:ascii="Arial" w:hAnsi="Arial" w:cs="Arial"/>
          <w:b/>
          <w:color w:val="4472C4" w:themeColor="accent1"/>
          <w:sz w:val="18"/>
          <w:szCs w:val="18"/>
        </w:rPr>
        <w:t>singing strategy</w:t>
      </w:r>
      <w:r w:rsidRPr="00316CE1">
        <w:rPr>
          <w:rFonts w:ascii="Arial" w:hAnsi="Arial" w:cs="Arial"/>
          <w:color w:val="4472C4" w:themeColor="accent1"/>
          <w:sz w:val="18"/>
          <w:szCs w:val="18"/>
        </w:rPr>
        <w:t xml:space="preserve"> </w:t>
      </w:r>
      <w:r w:rsidRPr="00316CE1">
        <w:rPr>
          <w:rFonts w:ascii="Arial" w:hAnsi="Arial" w:cs="Arial"/>
          <w:sz w:val="18"/>
          <w:szCs w:val="18"/>
        </w:rPr>
        <w:t xml:space="preserve">to ensure that every pupil sings </w:t>
      </w:r>
      <w:r w:rsidR="00A73D2D" w:rsidRPr="00316CE1">
        <w:rPr>
          <w:rFonts w:ascii="Arial" w:hAnsi="Arial" w:cs="Arial"/>
          <w:sz w:val="18"/>
          <w:szCs w:val="18"/>
        </w:rPr>
        <w:t>regularly,</w:t>
      </w:r>
      <w:r w:rsidRPr="00316CE1">
        <w:rPr>
          <w:rFonts w:ascii="Arial" w:hAnsi="Arial" w:cs="Arial"/>
          <w:sz w:val="18"/>
          <w:szCs w:val="18"/>
        </w:rPr>
        <w:t xml:space="preserve"> and that choirs and other vocal ensembles are available in the area.</w:t>
      </w:r>
    </w:p>
    <w:p w14:paraId="7A63AC81" w14:textId="77777777" w:rsidR="00F25B04" w:rsidRPr="00F25B04" w:rsidRDefault="00F25B04" w:rsidP="00F25B04">
      <w:pPr>
        <w:rPr>
          <w:rFonts w:ascii="Arial" w:hAnsi="Arial" w:cs="Arial"/>
          <w:b/>
          <w:sz w:val="22"/>
        </w:rPr>
      </w:pPr>
      <w:r w:rsidRPr="00F25B04">
        <w:rPr>
          <w:rFonts w:ascii="Arial" w:hAnsi="Arial" w:cs="Arial"/>
          <w:b/>
          <w:sz w:val="22"/>
        </w:rPr>
        <w:lastRenderedPageBreak/>
        <w:t>National Plan for Music Education – Extension Roles</w:t>
      </w:r>
    </w:p>
    <w:p w14:paraId="5CDDD290" w14:textId="77777777" w:rsidR="00F25B04" w:rsidRPr="00316CE1" w:rsidRDefault="00F25B04" w:rsidP="00F25B04">
      <w:pPr>
        <w:pStyle w:val="ListParagraph"/>
        <w:numPr>
          <w:ilvl w:val="0"/>
          <w:numId w:val="14"/>
        </w:numPr>
        <w:rPr>
          <w:rFonts w:ascii="Arial" w:hAnsi="Arial" w:cs="Arial"/>
          <w:sz w:val="18"/>
          <w:szCs w:val="18"/>
        </w:rPr>
      </w:pPr>
      <w:r w:rsidRPr="00316CE1">
        <w:rPr>
          <w:rFonts w:ascii="Arial" w:hAnsi="Arial" w:cs="Arial"/>
          <w:sz w:val="18"/>
          <w:szCs w:val="18"/>
        </w:rPr>
        <w:t xml:space="preserve">Offer </w:t>
      </w:r>
      <w:r w:rsidRPr="00316CE1">
        <w:rPr>
          <w:rFonts w:ascii="Arial" w:hAnsi="Arial" w:cs="Arial"/>
          <w:b/>
          <w:color w:val="4472C4" w:themeColor="accent1"/>
          <w:sz w:val="18"/>
          <w:szCs w:val="18"/>
        </w:rPr>
        <w:t>CPD to school staff</w:t>
      </w:r>
      <w:r w:rsidRPr="00316CE1">
        <w:rPr>
          <w:rFonts w:ascii="Arial" w:hAnsi="Arial" w:cs="Arial"/>
          <w:sz w:val="18"/>
          <w:szCs w:val="18"/>
        </w:rPr>
        <w:t xml:space="preserve">, particularly in </w:t>
      </w:r>
      <w:r w:rsidRPr="00316CE1">
        <w:rPr>
          <w:rFonts w:ascii="Arial" w:hAnsi="Arial" w:cs="Arial"/>
          <w:b/>
          <w:color w:val="4472C4" w:themeColor="accent1"/>
          <w:sz w:val="18"/>
          <w:szCs w:val="18"/>
        </w:rPr>
        <w:t>supporting schools to deliver music in the curriculum.</w:t>
      </w:r>
    </w:p>
    <w:p w14:paraId="44E3C856" w14:textId="77777777" w:rsidR="00F25B04" w:rsidRPr="00316CE1" w:rsidRDefault="00F25B04" w:rsidP="00F25B04">
      <w:pPr>
        <w:pStyle w:val="ListParagraph"/>
        <w:numPr>
          <w:ilvl w:val="0"/>
          <w:numId w:val="14"/>
        </w:numPr>
        <w:spacing w:after="200"/>
        <w:rPr>
          <w:rFonts w:ascii="Arial" w:hAnsi="Arial" w:cs="Arial"/>
          <w:sz w:val="18"/>
          <w:szCs w:val="18"/>
        </w:rPr>
      </w:pPr>
      <w:r w:rsidRPr="00316CE1">
        <w:rPr>
          <w:rFonts w:ascii="Arial" w:hAnsi="Arial" w:cs="Arial"/>
          <w:sz w:val="18"/>
          <w:szCs w:val="18"/>
        </w:rPr>
        <w:t xml:space="preserve">Provide an </w:t>
      </w:r>
      <w:r w:rsidRPr="00316CE1">
        <w:rPr>
          <w:rFonts w:ascii="Arial" w:hAnsi="Arial" w:cs="Arial"/>
          <w:b/>
          <w:color w:val="4472C4" w:themeColor="accent1"/>
          <w:sz w:val="18"/>
          <w:szCs w:val="18"/>
        </w:rPr>
        <w:t>instrument loan service</w:t>
      </w:r>
      <w:r w:rsidRPr="00316CE1">
        <w:rPr>
          <w:rFonts w:ascii="Arial" w:hAnsi="Arial" w:cs="Arial"/>
          <w:sz w:val="18"/>
          <w:szCs w:val="18"/>
        </w:rPr>
        <w:t>, with discounts or free provision for those on low incomes.</w:t>
      </w:r>
    </w:p>
    <w:p w14:paraId="718965E7" w14:textId="6C54DFBD" w:rsidR="00F25B04" w:rsidRPr="00316CE1" w:rsidRDefault="00F25B04" w:rsidP="00F25B04">
      <w:pPr>
        <w:pStyle w:val="ListParagraph"/>
        <w:numPr>
          <w:ilvl w:val="0"/>
          <w:numId w:val="14"/>
        </w:numPr>
        <w:rPr>
          <w:rFonts w:ascii="Arial" w:hAnsi="Arial" w:cs="Arial"/>
          <w:sz w:val="18"/>
          <w:szCs w:val="18"/>
        </w:rPr>
      </w:pPr>
      <w:r w:rsidRPr="00316CE1">
        <w:rPr>
          <w:rFonts w:ascii="Arial" w:hAnsi="Arial" w:cs="Arial"/>
          <w:sz w:val="18"/>
          <w:szCs w:val="18"/>
        </w:rPr>
        <w:t xml:space="preserve">Provide access to </w:t>
      </w:r>
      <w:r w:rsidRPr="00316CE1">
        <w:rPr>
          <w:rFonts w:ascii="Arial" w:hAnsi="Arial" w:cs="Arial"/>
          <w:b/>
          <w:color w:val="4472C4" w:themeColor="accent1"/>
          <w:sz w:val="18"/>
          <w:szCs w:val="18"/>
        </w:rPr>
        <w:t>large scale and/or high-quality music experiences</w:t>
      </w:r>
      <w:r w:rsidRPr="00316CE1">
        <w:rPr>
          <w:rFonts w:ascii="Arial" w:hAnsi="Arial" w:cs="Arial"/>
          <w:color w:val="4472C4" w:themeColor="accent1"/>
          <w:sz w:val="18"/>
          <w:szCs w:val="18"/>
        </w:rPr>
        <w:t xml:space="preserve"> </w:t>
      </w:r>
      <w:r w:rsidRPr="00316CE1">
        <w:rPr>
          <w:rFonts w:ascii="Arial" w:hAnsi="Arial" w:cs="Arial"/>
          <w:sz w:val="18"/>
          <w:szCs w:val="18"/>
        </w:rPr>
        <w:t>for pupils, working with professional musicians and/or venues. This may include undertaking work to publicise the opportunities available to schools, parents/carers and students.</w:t>
      </w:r>
    </w:p>
    <w:p w14:paraId="48ED80BE" w14:textId="5BC60B6C" w:rsidR="00A73D2D" w:rsidRDefault="00316CE1" w:rsidP="00A73D2D">
      <w:pPr>
        <w:rPr>
          <w:rFonts w:ascii="Arial" w:hAnsi="Arial" w:cs="Arial"/>
          <w:sz w:val="22"/>
        </w:rPr>
      </w:pPr>
      <w:r>
        <w:rPr>
          <w:rFonts w:ascii="Arial" w:hAnsi="Arial" w:cs="Arial"/>
          <w:sz w:val="22"/>
        </w:rPr>
        <w:t>In addition</w:t>
      </w:r>
      <w:r w:rsidR="00A40B35">
        <w:rPr>
          <w:rFonts w:ascii="Arial" w:hAnsi="Arial" w:cs="Arial"/>
          <w:sz w:val="22"/>
        </w:rPr>
        <w:t xml:space="preserve">, each MEH must have a </w:t>
      </w:r>
      <w:r w:rsidR="00774B12">
        <w:rPr>
          <w:rFonts w:ascii="Arial" w:hAnsi="Arial" w:cs="Arial"/>
          <w:sz w:val="22"/>
        </w:rPr>
        <w:t>School Music Education Plan:</w:t>
      </w:r>
      <w:r w:rsidR="00A73D2D">
        <w:rPr>
          <w:rFonts w:ascii="Arial" w:hAnsi="Arial" w:cs="Arial"/>
          <w:sz w:val="22"/>
        </w:rPr>
        <w:t xml:space="preserve"> </w:t>
      </w:r>
    </w:p>
    <w:p w14:paraId="0CDEB446" w14:textId="37F3187E" w:rsidR="00774B12" w:rsidRPr="00316CE1" w:rsidRDefault="00774B12" w:rsidP="00A73D2D">
      <w:pPr>
        <w:pStyle w:val="ListParagraph"/>
        <w:numPr>
          <w:ilvl w:val="0"/>
          <w:numId w:val="14"/>
        </w:numPr>
        <w:rPr>
          <w:rFonts w:ascii="Arial" w:hAnsi="Arial" w:cs="Arial"/>
          <w:sz w:val="20"/>
        </w:rPr>
      </w:pPr>
      <w:r w:rsidRPr="00A40B35">
        <w:rPr>
          <w:rFonts w:ascii="Arial" w:hAnsi="Arial" w:cs="Arial"/>
          <w:sz w:val="18"/>
          <w:szCs w:val="18"/>
        </w:rPr>
        <w:t xml:space="preserve">Every school is supported to deliver and monitor a </w:t>
      </w:r>
      <w:r w:rsidR="00A73D2D" w:rsidRPr="00A40B35">
        <w:rPr>
          <w:rFonts w:ascii="Arial" w:hAnsi="Arial" w:cs="Arial"/>
          <w:b/>
          <w:color w:val="4472C4" w:themeColor="accent1"/>
          <w:sz w:val="18"/>
          <w:szCs w:val="18"/>
        </w:rPr>
        <w:t>high-quality</w:t>
      </w:r>
      <w:r w:rsidRPr="00A40B35">
        <w:rPr>
          <w:rFonts w:ascii="Arial" w:hAnsi="Arial" w:cs="Arial"/>
          <w:b/>
          <w:color w:val="4472C4" w:themeColor="accent1"/>
          <w:sz w:val="18"/>
          <w:szCs w:val="18"/>
        </w:rPr>
        <w:t xml:space="preserve"> music curriculum</w:t>
      </w:r>
    </w:p>
    <w:p w14:paraId="03FF62AF" w14:textId="77777777" w:rsidR="00316CE1" w:rsidRPr="00A40B35" w:rsidRDefault="00316CE1" w:rsidP="00316CE1">
      <w:pPr>
        <w:pStyle w:val="ListParagraph"/>
        <w:ind w:left="360"/>
        <w:rPr>
          <w:rFonts w:ascii="Arial" w:hAnsi="Arial" w:cs="Arial"/>
          <w:sz w:val="4"/>
          <w:szCs w:val="4"/>
        </w:rPr>
      </w:pPr>
    </w:p>
    <w:bookmarkEnd w:id="11"/>
    <w:p w14:paraId="697A7C39" w14:textId="2B1CC3ED" w:rsidR="005379B2" w:rsidRPr="00F25B04" w:rsidRDefault="005379B2" w:rsidP="00F25B04">
      <w:pPr>
        <w:pStyle w:val="Heading1"/>
        <w:spacing w:before="0" w:after="0" w:line="240" w:lineRule="auto"/>
        <w:rPr>
          <w:rFonts w:ascii="Arial" w:hAnsi="Arial" w:cs="Arial"/>
          <w:sz w:val="22"/>
          <w:szCs w:val="23"/>
        </w:rPr>
      </w:pPr>
      <w:r w:rsidRPr="00F25B04">
        <w:rPr>
          <w:rFonts w:ascii="Arial" w:hAnsi="Arial" w:cs="Arial"/>
          <w:sz w:val="24"/>
        </w:rPr>
        <w:t>Music Strategy Key Strands</w:t>
      </w:r>
      <w:bookmarkEnd w:id="10"/>
      <w:r w:rsidRPr="00F25B04">
        <w:rPr>
          <w:rFonts w:ascii="Arial" w:hAnsi="Arial" w:cs="Arial"/>
          <w:sz w:val="24"/>
        </w:rPr>
        <w:t xml:space="preserve"> </w:t>
      </w:r>
      <w:bookmarkEnd w:id="9"/>
      <w:r w:rsidR="00A3182A">
        <w:rPr>
          <w:rFonts w:ascii="Arial" w:hAnsi="Arial" w:cs="Arial"/>
          <w:sz w:val="24"/>
        </w:rPr>
        <w:t>that support Key Priorities</w:t>
      </w:r>
    </w:p>
    <w:p w14:paraId="1AFC9650" w14:textId="77777777" w:rsidR="005379B2" w:rsidRPr="00F25B04" w:rsidRDefault="005379B2" w:rsidP="00F25B04">
      <w:pPr>
        <w:rPr>
          <w:rFonts w:ascii="Arial" w:hAnsi="Arial" w:cs="Arial"/>
          <w:sz w:val="22"/>
        </w:rPr>
      </w:pPr>
      <w:r w:rsidRPr="00F25B04">
        <w:rPr>
          <w:rStyle w:val="Strong"/>
          <w:rFonts w:ascii="Arial" w:eastAsiaTheme="majorEastAsia" w:hAnsi="Arial" w:cs="Arial"/>
          <w:b w:val="0"/>
          <w:sz w:val="22"/>
        </w:rPr>
        <w:t>A unified approach to music delivery in the Tri-borough area: four key strands, each with four objectives, mapped to outcomes for shared responsibility. The TBMH has devised a top-level music strategy which summarises the approach taken to meet all service priorities.</w:t>
      </w:r>
      <w:r w:rsidRPr="00F25B04">
        <w:rPr>
          <w:rStyle w:val="Strong"/>
          <w:rFonts w:ascii="Arial" w:eastAsiaTheme="majorEastAsia" w:hAnsi="Arial" w:cs="Arial"/>
          <w:sz w:val="22"/>
        </w:rPr>
        <w:t xml:space="preserve"> </w:t>
      </w:r>
      <w:r w:rsidRPr="00F25B04">
        <w:rPr>
          <w:rFonts w:ascii="Arial" w:hAnsi="Arial" w:cs="Arial"/>
          <w:sz w:val="22"/>
        </w:rPr>
        <w:t xml:space="preserve">To achieve this, the TBMH is committed to high-quality learning at all levels under-pinned by mutually beneficial partnerships which contribute to and support the music education within the three boroughs. </w:t>
      </w:r>
    </w:p>
    <w:p w14:paraId="671F3B59" w14:textId="77777777" w:rsidR="005379B2" w:rsidRPr="00A40B35" w:rsidRDefault="005379B2" w:rsidP="00F25B04">
      <w:pPr>
        <w:rPr>
          <w:rFonts w:ascii="Arial" w:hAnsi="Arial" w:cs="Arial"/>
          <w:sz w:val="2"/>
          <w:szCs w:val="12"/>
        </w:rPr>
      </w:pPr>
    </w:p>
    <w:p w14:paraId="3434BFB1" w14:textId="77777777" w:rsidR="005379B2" w:rsidRPr="00F25B04" w:rsidRDefault="005379B2" w:rsidP="00545330">
      <w:pPr>
        <w:rPr>
          <w:rFonts w:ascii="Arial" w:hAnsi="Arial" w:cs="Arial"/>
          <w:sz w:val="22"/>
        </w:rPr>
      </w:pPr>
      <w:r w:rsidRPr="00F25B04">
        <w:rPr>
          <w:rFonts w:ascii="Arial" w:eastAsia="Times New Roman" w:hAnsi="Arial" w:cs="Arial"/>
          <w:b/>
          <w:bCs/>
          <w:color w:val="000000"/>
          <w:sz w:val="22"/>
          <w:lang w:eastAsia="en-GB"/>
        </w:rPr>
        <w:t>Musical development of children and young people</w:t>
      </w:r>
    </w:p>
    <w:p w14:paraId="66AAB487" w14:textId="77777777" w:rsidR="005379B2" w:rsidRPr="00A40B35" w:rsidRDefault="005379B2" w:rsidP="00545330">
      <w:pPr>
        <w:numPr>
          <w:ilvl w:val="0"/>
          <w:numId w:val="15"/>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ensure all children and young people are actively making progress according to their stage of learning and with appropriate challenge</w:t>
      </w:r>
    </w:p>
    <w:p w14:paraId="3DDC86F8" w14:textId="77777777" w:rsidR="005379B2" w:rsidRPr="00A40B35" w:rsidRDefault="005379B2" w:rsidP="00545330">
      <w:pPr>
        <w:numPr>
          <w:ilvl w:val="0"/>
          <w:numId w:val="15"/>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ignite and develop children and young people's musical curiosity to explore music in its wider sense</w:t>
      </w:r>
    </w:p>
    <w:p w14:paraId="5032AF76" w14:textId="77777777" w:rsidR="005379B2" w:rsidRPr="00A40B35" w:rsidRDefault="005379B2" w:rsidP="00545330">
      <w:pPr>
        <w:numPr>
          <w:ilvl w:val="0"/>
          <w:numId w:val="15"/>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improve the personal, social and emotional development of children and young people through participation in quality musical activity</w:t>
      </w:r>
    </w:p>
    <w:p w14:paraId="438213C4" w14:textId="77777777" w:rsidR="005379B2" w:rsidRPr="00A40B35" w:rsidRDefault="005379B2" w:rsidP="00545330">
      <w:pPr>
        <w:numPr>
          <w:ilvl w:val="0"/>
          <w:numId w:val="15"/>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improve the communication, language and literacy development of young children through participation in creative musical activity</w:t>
      </w:r>
    </w:p>
    <w:p w14:paraId="703D0E22" w14:textId="77777777" w:rsidR="005379B2" w:rsidRPr="00A40B35" w:rsidRDefault="005379B2" w:rsidP="00545330">
      <w:pPr>
        <w:ind w:left="540"/>
        <w:textAlignment w:val="center"/>
        <w:rPr>
          <w:rFonts w:ascii="Arial" w:eastAsia="Times New Roman" w:hAnsi="Arial" w:cs="Arial"/>
          <w:color w:val="000000"/>
          <w:sz w:val="2"/>
          <w:szCs w:val="12"/>
          <w:lang w:eastAsia="en-GB"/>
        </w:rPr>
      </w:pPr>
    </w:p>
    <w:p w14:paraId="12839E92" w14:textId="77777777" w:rsidR="00A3182A" w:rsidRPr="00F25B04" w:rsidRDefault="00A3182A" w:rsidP="00545330">
      <w:pPr>
        <w:rPr>
          <w:rFonts w:ascii="Arial" w:eastAsia="Times New Roman" w:hAnsi="Arial" w:cs="Arial"/>
          <w:color w:val="000000"/>
          <w:sz w:val="22"/>
          <w:lang w:eastAsia="en-GB"/>
        </w:rPr>
      </w:pPr>
      <w:r w:rsidRPr="00F25B04">
        <w:rPr>
          <w:rFonts w:ascii="Arial" w:eastAsia="Times New Roman" w:hAnsi="Arial" w:cs="Arial"/>
          <w:b/>
          <w:bCs/>
          <w:color w:val="000000"/>
          <w:sz w:val="22"/>
          <w:lang w:eastAsia="en-GB"/>
        </w:rPr>
        <w:t>Enhancing music provision in schools and settings</w:t>
      </w:r>
    </w:p>
    <w:p w14:paraId="5E6703CE" w14:textId="77777777" w:rsidR="00A3182A" w:rsidRPr="00A40B35" w:rsidRDefault="00A3182A" w:rsidP="00545330">
      <w:pPr>
        <w:numPr>
          <w:ilvl w:val="0"/>
          <w:numId w:val="17"/>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embed learning and effective practice in host and partner organisations and share practice beyond the project/event/piece of work with a tangible legacy</w:t>
      </w:r>
    </w:p>
    <w:p w14:paraId="3109DB97" w14:textId="77777777" w:rsidR="00A3182A" w:rsidRPr="00A40B35" w:rsidRDefault="00A3182A" w:rsidP="00545330">
      <w:pPr>
        <w:numPr>
          <w:ilvl w:val="0"/>
          <w:numId w:val="17"/>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ensure that music experiences cater for all groups of children including those in challenging circumstances</w:t>
      </w:r>
    </w:p>
    <w:p w14:paraId="6239FCF4" w14:textId="77777777" w:rsidR="00A3182A" w:rsidRPr="00A40B35" w:rsidRDefault="00A3182A" w:rsidP="00545330">
      <w:pPr>
        <w:numPr>
          <w:ilvl w:val="0"/>
          <w:numId w:val="17"/>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embed a musical ethos within the setting</w:t>
      </w:r>
    </w:p>
    <w:p w14:paraId="65AA1952" w14:textId="48521B82" w:rsidR="00A3182A" w:rsidRPr="00A40B35" w:rsidRDefault="00A3182A" w:rsidP="00545330">
      <w:pPr>
        <w:numPr>
          <w:ilvl w:val="0"/>
          <w:numId w:val="17"/>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develop a reflective practice within the workforce which impacts on successful next steps</w:t>
      </w:r>
    </w:p>
    <w:p w14:paraId="10F63886" w14:textId="77777777" w:rsidR="00A3182A" w:rsidRPr="00A40B35" w:rsidRDefault="00A3182A" w:rsidP="00545330">
      <w:pPr>
        <w:ind w:left="540"/>
        <w:textAlignment w:val="center"/>
        <w:rPr>
          <w:rFonts w:ascii="Arial" w:eastAsia="Times New Roman" w:hAnsi="Arial" w:cs="Arial"/>
          <w:color w:val="000000"/>
          <w:sz w:val="2"/>
          <w:szCs w:val="12"/>
          <w:lang w:eastAsia="en-GB"/>
        </w:rPr>
      </w:pPr>
    </w:p>
    <w:p w14:paraId="3F67CCBD" w14:textId="77777777" w:rsidR="00A3182A" w:rsidRPr="00F25B04" w:rsidRDefault="00A3182A" w:rsidP="00545330">
      <w:pPr>
        <w:rPr>
          <w:rFonts w:ascii="Arial" w:eastAsia="Times New Roman" w:hAnsi="Arial" w:cs="Arial"/>
          <w:color w:val="000000"/>
          <w:sz w:val="22"/>
          <w:lang w:eastAsia="en-GB"/>
        </w:rPr>
      </w:pPr>
      <w:r w:rsidRPr="00F25B04">
        <w:rPr>
          <w:rFonts w:ascii="Arial" w:eastAsia="Times New Roman" w:hAnsi="Arial" w:cs="Arial"/>
          <w:b/>
          <w:bCs/>
          <w:color w:val="000000"/>
          <w:sz w:val="22"/>
          <w:lang w:eastAsia="en-GB"/>
        </w:rPr>
        <w:t>Developing the music workforce</w:t>
      </w:r>
    </w:p>
    <w:p w14:paraId="0C2647E7" w14:textId="77777777" w:rsidR="00A3182A" w:rsidRPr="00A40B35" w:rsidRDefault="00A3182A" w:rsidP="00545330">
      <w:pPr>
        <w:numPr>
          <w:ilvl w:val="0"/>
          <w:numId w:val="18"/>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further improve the quality and standards of music delivery for children and young people</w:t>
      </w:r>
    </w:p>
    <w:p w14:paraId="33A12935" w14:textId="66B44A12" w:rsidR="00A3182A" w:rsidRPr="00A40B35" w:rsidRDefault="00A3182A" w:rsidP="00545330">
      <w:pPr>
        <w:numPr>
          <w:ilvl w:val="0"/>
          <w:numId w:val="18"/>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 xml:space="preserve">To actively impact on teacher/tutor training and offer sustained </w:t>
      </w:r>
      <w:proofErr w:type="spellStart"/>
      <w:r w:rsidRPr="00A40B35">
        <w:rPr>
          <w:rFonts w:ascii="Arial" w:eastAsia="Times New Roman" w:hAnsi="Arial" w:cs="Arial"/>
          <w:color w:val="000000"/>
          <w:sz w:val="18"/>
          <w:szCs w:val="18"/>
          <w:lang w:eastAsia="en-GB"/>
        </w:rPr>
        <w:t>support</w:t>
      </w:r>
      <w:r w:rsidR="0047044E">
        <w:rPr>
          <w:rFonts w:ascii="Arial" w:eastAsia="Times New Roman" w:hAnsi="Arial" w:cs="Arial"/>
          <w:color w:val="000000"/>
          <w:sz w:val="18"/>
          <w:szCs w:val="18"/>
          <w:lang w:eastAsia="en-GB"/>
        </w:rPr>
        <w:t>&amp;</w:t>
      </w:r>
      <w:r w:rsidRPr="00A40B35">
        <w:rPr>
          <w:rFonts w:ascii="Arial" w:eastAsia="Times New Roman" w:hAnsi="Arial" w:cs="Arial"/>
          <w:color w:val="000000"/>
          <w:sz w:val="18"/>
          <w:szCs w:val="18"/>
          <w:lang w:eastAsia="en-GB"/>
        </w:rPr>
        <w:t>creative</w:t>
      </w:r>
      <w:proofErr w:type="spellEnd"/>
      <w:r w:rsidRPr="00A40B35">
        <w:rPr>
          <w:rFonts w:ascii="Arial" w:eastAsia="Times New Roman" w:hAnsi="Arial" w:cs="Arial"/>
          <w:color w:val="000000"/>
          <w:sz w:val="18"/>
          <w:szCs w:val="18"/>
          <w:lang w:eastAsia="en-GB"/>
        </w:rPr>
        <w:t xml:space="preserve"> development opportunities for professionals</w:t>
      </w:r>
    </w:p>
    <w:p w14:paraId="48B6AA40" w14:textId="77777777" w:rsidR="00A3182A" w:rsidRPr="00A40B35" w:rsidRDefault="00A3182A" w:rsidP="00545330">
      <w:pPr>
        <w:numPr>
          <w:ilvl w:val="0"/>
          <w:numId w:val="18"/>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work with music specialists and those who lack confidence or experience with music delivery</w:t>
      </w:r>
    </w:p>
    <w:p w14:paraId="22AE247B" w14:textId="0DBA4440" w:rsidR="00A3182A" w:rsidRPr="00A40B35" w:rsidRDefault="00A3182A" w:rsidP="00545330">
      <w:pPr>
        <w:numPr>
          <w:ilvl w:val="0"/>
          <w:numId w:val="18"/>
        </w:numPr>
        <w:ind w:left="540"/>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develop reflective practice within the workforce which impacts on successful next steps</w:t>
      </w:r>
    </w:p>
    <w:p w14:paraId="3DD8FC41" w14:textId="77777777" w:rsidR="00A3182A" w:rsidRPr="00A40B35" w:rsidRDefault="00A3182A" w:rsidP="00545330">
      <w:pPr>
        <w:ind w:left="540"/>
        <w:textAlignment w:val="center"/>
        <w:rPr>
          <w:rFonts w:ascii="Arial" w:eastAsia="Times New Roman" w:hAnsi="Arial" w:cs="Arial"/>
          <w:color w:val="000000"/>
          <w:sz w:val="2"/>
          <w:szCs w:val="12"/>
          <w:lang w:eastAsia="en-GB"/>
        </w:rPr>
      </w:pPr>
    </w:p>
    <w:p w14:paraId="71541693" w14:textId="77777777" w:rsidR="005379B2" w:rsidRPr="00F25B04" w:rsidRDefault="005379B2" w:rsidP="00545330">
      <w:pPr>
        <w:rPr>
          <w:rFonts w:ascii="Arial" w:eastAsia="Times New Roman" w:hAnsi="Arial" w:cs="Arial"/>
          <w:color w:val="000000"/>
          <w:sz w:val="22"/>
          <w:lang w:eastAsia="en-GB"/>
        </w:rPr>
      </w:pPr>
      <w:r w:rsidRPr="00F25B04">
        <w:rPr>
          <w:rFonts w:ascii="Arial" w:eastAsia="Times New Roman" w:hAnsi="Arial" w:cs="Arial"/>
          <w:b/>
          <w:bCs/>
          <w:color w:val="000000"/>
          <w:sz w:val="22"/>
          <w:lang w:eastAsia="en-GB"/>
        </w:rPr>
        <w:t>Family and community engagement / Events</w:t>
      </w:r>
    </w:p>
    <w:p w14:paraId="41F2F8B8" w14:textId="77777777" w:rsidR="005379B2" w:rsidRPr="00A40B35" w:rsidRDefault="005379B2" w:rsidP="00545330">
      <w:pPr>
        <w:numPr>
          <w:ilvl w:val="0"/>
          <w:numId w:val="16"/>
        </w:numPr>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ensure that music experiences are of high quality; are interactive; and engage the audience</w:t>
      </w:r>
    </w:p>
    <w:p w14:paraId="213C734D" w14:textId="77777777" w:rsidR="005379B2" w:rsidRPr="00A40B35" w:rsidRDefault="005379B2" w:rsidP="00545330">
      <w:pPr>
        <w:numPr>
          <w:ilvl w:val="0"/>
          <w:numId w:val="16"/>
        </w:numPr>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ensure that music experiences are accessible and affordable, irrelevant of circumstance</w:t>
      </w:r>
    </w:p>
    <w:p w14:paraId="27201D40" w14:textId="77777777" w:rsidR="005379B2" w:rsidRPr="00A40B35" w:rsidRDefault="005379B2" w:rsidP="00545330">
      <w:pPr>
        <w:numPr>
          <w:ilvl w:val="0"/>
          <w:numId w:val="16"/>
        </w:numPr>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To ensure that music experiences are aimed at all groups of children including those in challenging circumstances and those with Special Education Needs and Disabilities</w:t>
      </w:r>
    </w:p>
    <w:p w14:paraId="160EF6A5" w14:textId="77777777" w:rsidR="005379B2" w:rsidRPr="00A40B35" w:rsidRDefault="005379B2" w:rsidP="00545330">
      <w:pPr>
        <w:numPr>
          <w:ilvl w:val="0"/>
          <w:numId w:val="16"/>
        </w:numPr>
        <w:textAlignment w:val="center"/>
        <w:rPr>
          <w:rFonts w:ascii="Arial" w:eastAsia="Times New Roman" w:hAnsi="Arial" w:cs="Arial"/>
          <w:color w:val="000000"/>
          <w:sz w:val="18"/>
          <w:szCs w:val="18"/>
          <w:lang w:eastAsia="en-GB"/>
        </w:rPr>
      </w:pPr>
      <w:r w:rsidRPr="00A40B35">
        <w:rPr>
          <w:rFonts w:ascii="Arial" w:eastAsia="Times New Roman" w:hAnsi="Arial" w:cs="Arial"/>
          <w:color w:val="000000"/>
          <w:sz w:val="18"/>
          <w:szCs w:val="18"/>
          <w:lang w:eastAsia="en-GB"/>
        </w:rPr>
        <w:t xml:space="preserve">To ensure that music experiences include </w:t>
      </w:r>
      <w:proofErr w:type="gramStart"/>
      <w:r w:rsidRPr="00A40B35">
        <w:rPr>
          <w:rFonts w:ascii="Arial" w:eastAsia="Times New Roman" w:hAnsi="Arial" w:cs="Arial"/>
          <w:color w:val="000000"/>
          <w:sz w:val="18"/>
          <w:szCs w:val="18"/>
          <w:lang w:eastAsia="en-GB"/>
        </w:rPr>
        <w:t>next-steps</w:t>
      </w:r>
      <w:proofErr w:type="gramEnd"/>
      <w:r w:rsidRPr="00A40B35">
        <w:rPr>
          <w:rFonts w:ascii="Arial" w:eastAsia="Times New Roman" w:hAnsi="Arial" w:cs="Arial"/>
          <w:color w:val="000000"/>
          <w:sz w:val="18"/>
          <w:szCs w:val="18"/>
          <w:lang w:eastAsia="en-GB"/>
        </w:rPr>
        <w:t xml:space="preserve"> signposting to further encourage family participation and engagement</w:t>
      </w:r>
    </w:p>
    <w:p w14:paraId="008494DC" w14:textId="797299D3" w:rsidR="005379B2" w:rsidRPr="00A40B35" w:rsidRDefault="005379B2" w:rsidP="00F25B04">
      <w:pPr>
        <w:rPr>
          <w:rFonts w:ascii="Arial" w:eastAsiaTheme="majorEastAsia" w:hAnsi="Arial" w:cs="Arial"/>
          <w:b/>
          <w:bCs/>
          <w:color w:val="2F5496" w:themeColor="accent1" w:themeShade="BF"/>
          <w:sz w:val="2"/>
          <w:szCs w:val="16"/>
        </w:rPr>
      </w:pPr>
      <w:bookmarkStart w:id="12" w:name="_Toc9405593"/>
      <w:bookmarkStart w:id="13" w:name="_Toc9405592"/>
      <w:bookmarkStart w:id="14" w:name="_Hlk13572943"/>
    </w:p>
    <w:p w14:paraId="794F6E6C" w14:textId="77777777" w:rsidR="005379B2" w:rsidRPr="00F25B04" w:rsidRDefault="005379B2" w:rsidP="00F25B04">
      <w:pPr>
        <w:pStyle w:val="Heading1"/>
        <w:spacing w:before="0" w:after="0" w:line="240" w:lineRule="auto"/>
        <w:rPr>
          <w:rFonts w:ascii="Arial" w:hAnsi="Arial" w:cs="Arial"/>
          <w:sz w:val="24"/>
        </w:rPr>
      </w:pPr>
      <w:bookmarkStart w:id="15" w:name="_Toc26279654"/>
      <w:r w:rsidRPr="00F25B04">
        <w:rPr>
          <w:rFonts w:ascii="Arial" w:hAnsi="Arial" w:cs="Arial"/>
          <w:sz w:val="24"/>
        </w:rPr>
        <w:t>Key Areas for Development (TBMH)</w:t>
      </w:r>
      <w:bookmarkEnd w:id="13"/>
      <w:bookmarkEnd w:id="15"/>
    </w:p>
    <w:p w14:paraId="774C0F68" w14:textId="77777777" w:rsidR="005379B2" w:rsidRPr="00F25B04" w:rsidRDefault="005379B2" w:rsidP="00F25B04">
      <w:pPr>
        <w:rPr>
          <w:rFonts w:ascii="Arial" w:hAnsi="Arial" w:cs="Arial"/>
          <w:iCs/>
          <w:sz w:val="22"/>
          <w:szCs w:val="23"/>
        </w:rPr>
      </w:pPr>
      <w:r w:rsidRPr="00F25B04">
        <w:rPr>
          <w:rFonts w:ascii="Arial" w:hAnsi="Arial" w:cs="Arial"/>
          <w:sz w:val="22"/>
          <w:szCs w:val="23"/>
        </w:rPr>
        <w:t>The Key Areas for Development (</w:t>
      </w:r>
      <w:proofErr w:type="spellStart"/>
      <w:r w:rsidRPr="00F25B04">
        <w:rPr>
          <w:rFonts w:ascii="Arial" w:hAnsi="Arial" w:cs="Arial"/>
          <w:sz w:val="22"/>
          <w:szCs w:val="23"/>
        </w:rPr>
        <w:t>KAfD</w:t>
      </w:r>
      <w:proofErr w:type="spellEnd"/>
      <w:r w:rsidRPr="00F25B04">
        <w:rPr>
          <w:rFonts w:ascii="Arial" w:hAnsi="Arial" w:cs="Arial"/>
          <w:sz w:val="22"/>
          <w:szCs w:val="23"/>
        </w:rPr>
        <w:t xml:space="preserve">) of the TBMH have been agreed at governance level by the </w:t>
      </w:r>
      <w:r w:rsidRPr="00F25B04">
        <w:rPr>
          <w:rFonts w:ascii="Arial" w:hAnsi="Arial" w:cs="Arial"/>
          <w:iCs/>
          <w:sz w:val="22"/>
          <w:szCs w:val="23"/>
        </w:rPr>
        <w:t xml:space="preserve">Strategic Partners and </w:t>
      </w:r>
      <w:r w:rsidRPr="00F25B04">
        <w:rPr>
          <w:rFonts w:ascii="Arial" w:hAnsi="Arial" w:cs="Arial"/>
          <w:sz w:val="22"/>
          <w:szCs w:val="23"/>
        </w:rPr>
        <w:t xml:space="preserve">are essential to the continued growth and success of all TBMH delivery. </w:t>
      </w:r>
    </w:p>
    <w:p w14:paraId="3BF7FCFF" w14:textId="77777777" w:rsidR="005379B2" w:rsidRPr="00F25B04" w:rsidRDefault="005379B2" w:rsidP="00F25B04">
      <w:pPr>
        <w:rPr>
          <w:rFonts w:ascii="Arial" w:hAnsi="Arial" w:cs="Arial"/>
          <w:sz w:val="2"/>
          <w:szCs w:val="23"/>
        </w:rPr>
      </w:pPr>
    </w:p>
    <w:p w14:paraId="33B191FD" w14:textId="77777777" w:rsidR="005379B2" w:rsidRPr="003555F6" w:rsidRDefault="005379B2" w:rsidP="00F25B04">
      <w:pPr>
        <w:numPr>
          <w:ilvl w:val="0"/>
          <w:numId w:val="12"/>
        </w:numPr>
        <w:rPr>
          <w:rFonts w:ascii="Arial" w:hAnsi="Arial" w:cs="Arial"/>
          <w:b/>
          <w:sz w:val="20"/>
          <w:szCs w:val="22"/>
        </w:rPr>
      </w:pPr>
      <w:r w:rsidRPr="003555F6">
        <w:rPr>
          <w:rFonts w:ascii="Arial" w:hAnsi="Arial" w:cs="Arial"/>
          <w:b/>
          <w:sz w:val="20"/>
          <w:szCs w:val="22"/>
        </w:rPr>
        <w:t xml:space="preserve">School engagement: </w:t>
      </w:r>
    </w:p>
    <w:p w14:paraId="3E3A5819"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to secure and develop relationships at all levels within schools;</w:t>
      </w:r>
    </w:p>
    <w:p w14:paraId="5F5291F8" w14:textId="77777777" w:rsidR="005379B2" w:rsidRPr="003555F6" w:rsidRDefault="005379B2" w:rsidP="00F25B04">
      <w:pPr>
        <w:numPr>
          <w:ilvl w:val="0"/>
          <w:numId w:val="12"/>
        </w:numPr>
        <w:rPr>
          <w:rFonts w:ascii="Arial" w:hAnsi="Arial" w:cs="Arial"/>
          <w:b/>
          <w:sz w:val="20"/>
          <w:szCs w:val="22"/>
        </w:rPr>
      </w:pPr>
      <w:r w:rsidRPr="003555F6">
        <w:rPr>
          <w:rFonts w:ascii="Arial" w:hAnsi="Arial" w:cs="Arial"/>
          <w:b/>
          <w:sz w:val="20"/>
          <w:szCs w:val="22"/>
        </w:rPr>
        <w:t>Progression:</w:t>
      </w:r>
    </w:p>
    <w:p w14:paraId="7DB6BD98"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 xml:space="preserve">to ensure progression of all learners and raise instrumental/vocal standards; </w:t>
      </w:r>
    </w:p>
    <w:p w14:paraId="66945CA3"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to ensure the quality and success of all instrumental/vocal ensembles;</w:t>
      </w:r>
    </w:p>
    <w:p w14:paraId="64B2D31F" w14:textId="77777777" w:rsidR="005379B2" w:rsidRPr="00F25B04" w:rsidRDefault="005379B2" w:rsidP="00F25B04">
      <w:pPr>
        <w:numPr>
          <w:ilvl w:val="0"/>
          <w:numId w:val="12"/>
        </w:numPr>
        <w:rPr>
          <w:rFonts w:ascii="Arial" w:hAnsi="Arial" w:cs="Arial"/>
          <w:b/>
          <w:sz w:val="22"/>
          <w:szCs w:val="23"/>
        </w:rPr>
      </w:pPr>
      <w:r w:rsidRPr="003555F6">
        <w:rPr>
          <w:rFonts w:ascii="Arial" w:hAnsi="Arial" w:cs="Arial"/>
          <w:b/>
          <w:sz w:val="20"/>
          <w:szCs w:val="22"/>
        </w:rPr>
        <w:t xml:space="preserve">Access and Inclusion for all children: </w:t>
      </w:r>
    </w:p>
    <w:p w14:paraId="3B5A3A68"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to ensure embedded SEN/D engagement and support;</w:t>
      </w:r>
    </w:p>
    <w:p w14:paraId="0F7F8213"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to serve all children in challenging circumstances, Alternative Provision and Looked After Children;</w:t>
      </w:r>
    </w:p>
    <w:p w14:paraId="29ADC1A9" w14:textId="77777777" w:rsidR="005379B2" w:rsidRPr="003555F6" w:rsidRDefault="005379B2" w:rsidP="0089590F">
      <w:pPr>
        <w:numPr>
          <w:ilvl w:val="0"/>
          <w:numId w:val="12"/>
        </w:numPr>
        <w:rPr>
          <w:rFonts w:ascii="Arial" w:hAnsi="Arial" w:cs="Arial"/>
          <w:sz w:val="20"/>
          <w:szCs w:val="22"/>
        </w:rPr>
      </w:pPr>
      <w:r w:rsidRPr="003555F6">
        <w:rPr>
          <w:rFonts w:ascii="Arial" w:hAnsi="Arial" w:cs="Arial"/>
          <w:b/>
          <w:sz w:val="20"/>
          <w:szCs w:val="22"/>
        </w:rPr>
        <w:t>Securing additional funding streams:</w:t>
      </w:r>
    </w:p>
    <w:p w14:paraId="09EB3110"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 xml:space="preserve">to further develop the funding strategy to ensure financial sustainability </w:t>
      </w:r>
    </w:p>
    <w:p w14:paraId="1EC5DCED" w14:textId="77777777" w:rsidR="005379B2" w:rsidRPr="003555F6" w:rsidRDefault="005379B2" w:rsidP="00F25B04">
      <w:pPr>
        <w:numPr>
          <w:ilvl w:val="0"/>
          <w:numId w:val="12"/>
        </w:numPr>
        <w:rPr>
          <w:rFonts w:ascii="Arial" w:hAnsi="Arial" w:cs="Arial"/>
          <w:b/>
          <w:sz w:val="20"/>
          <w:szCs w:val="22"/>
        </w:rPr>
      </w:pPr>
      <w:r w:rsidRPr="003555F6">
        <w:rPr>
          <w:rFonts w:ascii="Arial" w:hAnsi="Arial" w:cs="Arial"/>
          <w:b/>
          <w:sz w:val="20"/>
          <w:szCs w:val="22"/>
        </w:rPr>
        <w:t>Building service capacity to meet future needs:</w:t>
      </w:r>
    </w:p>
    <w:p w14:paraId="27B926B9"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to streamline the existing service and ensure increased income generation;</w:t>
      </w:r>
    </w:p>
    <w:p w14:paraId="050F4AA5"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 xml:space="preserve">to implement additional roles to fulfil and implement new growth areas of the service; </w:t>
      </w:r>
    </w:p>
    <w:p w14:paraId="36AF61B3" w14:textId="77777777" w:rsidR="005379B2" w:rsidRPr="00F25B04" w:rsidRDefault="005379B2" w:rsidP="00F25B04">
      <w:pPr>
        <w:pStyle w:val="ListParagraph"/>
        <w:numPr>
          <w:ilvl w:val="0"/>
          <w:numId w:val="13"/>
        </w:numPr>
        <w:rPr>
          <w:rFonts w:ascii="Arial" w:hAnsi="Arial" w:cs="Arial"/>
          <w:sz w:val="18"/>
          <w:szCs w:val="23"/>
        </w:rPr>
      </w:pPr>
      <w:r w:rsidRPr="00F25B04">
        <w:rPr>
          <w:rFonts w:ascii="Arial" w:hAnsi="Arial" w:cs="Arial"/>
          <w:sz w:val="18"/>
          <w:szCs w:val="23"/>
        </w:rPr>
        <w:t>to diversify our offer and client base by introducing Adult education/life-long learning; and expanding Early Years Foundation Stage (EYFS) learning programmes;</w:t>
      </w:r>
    </w:p>
    <w:p w14:paraId="0143EDFE" w14:textId="77777777" w:rsidR="005379B2" w:rsidRPr="003555F6" w:rsidRDefault="005379B2" w:rsidP="00F25B04">
      <w:pPr>
        <w:numPr>
          <w:ilvl w:val="0"/>
          <w:numId w:val="12"/>
        </w:numPr>
        <w:rPr>
          <w:rFonts w:ascii="Arial" w:hAnsi="Arial" w:cs="Arial"/>
          <w:b/>
          <w:sz w:val="20"/>
          <w:szCs w:val="22"/>
        </w:rPr>
      </w:pPr>
      <w:r w:rsidRPr="003555F6">
        <w:rPr>
          <w:rFonts w:ascii="Arial" w:hAnsi="Arial" w:cs="Arial"/>
          <w:b/>
          <w:sz w:val="20"/>
          <w:szCs w:val="22"/>
        </w:rPr>
        <w:t>Evidence and Evaluation:</w:t>
      </w:r>
    </w:p>
    <w:p w14:paraId="58D1CB98" w14:textId="1FDBE19C" w:rsidR="00611BF4" w:rsidRPr="00611BF4" w:rsidRDefault="005379B2" w:rsidP="004B480F">
      <w:pPr>
        <w:pStyle w:val="ListParagraph"/>
        <w:numPr>
          <w:ilvl w:val="0"/>
          <w:numId w:val="13"/>
        </w:numPr>
        <w:pBdr>
          <w:bottom w:val="single" w:sz="4" w:space="1" w:color="auto"/>
        </w:pBdr>
        <w:rPr>
          <w:rFonts w:ascii="Arial" w:hAnsi="Arial" w:cs="Arial"/>
          <w:sz w:val="18"/>
          <w:szCs w:val="23"/>
        </w:rPr>
      </w:pPr>
      <w:r w:rsidRPr="00F25B04">
        <w:rPr>
          <w:rFonts w:ascii="Arial" w:hAnsi="Arial" w:cs="Arial"/>
          <w:sz w:val="18"/>
          <w:szCs w:val="23"/>
        </w:rPr>
        <w:t>to streamline evidence collection, analysis and evaluation of all aspects of service and partner delivery to inform future planning; including developing our Youth Voice Council to influence all activity</w:t>
      </w:r>
      <w:bookmarkEnd w:id="14"/>
      <w:r w:rsidR="00611BF4">
        <w:rPr>
          <w:rFonts w:ascii="Arial" w:hAnsi="Arial" w:cs="Arial"/>
          <w:sz w:val="18"/>
          <w:szCs w:val="23"/>
        </w:rPr>
        <w:t>.</w:t>
      </w:r>
      <w:bookmarkStart w:id="16" w:name="_GoBack"/>
      <w:bookmarkEnd w:id="16"/>
    </w:p>
    <w:p w14:paraId="6FF86C28" w14:textId="2F7C0999" w:rsidR="005379B2" w:rsidRPr="003555F6" w:rsidRDefault="005379B2" w:rsidP="003555F6">
      <w:pPr>
        <w:rPr>
          <w:rFonts w:ascii="Arial" w:hAnsi="Arial" w:cs="Arial"/>
          <w:sz w:val="18"/>
          <w:szCs w:val="23"/>
        </w:rPr>
      </w:pPr>
      <w:r w:rsidRPr="003555F6">
        <w:rPr>
          <w:rFonts w:ascii="Arial" w:hAnsi="Arial" w:cs="Arial"/>
          <w:sz w:val="20"/>
          <w:szCs w:val="22"/>
        </w:rPr>
        <w:t xml:space="preserve">To support the </w:t>
      </w:r>
      <w:proofErr w:type="spellStart"/>
      <w:r w:rsidRPr="003555F6">
        <w:rPr>
          <w:rFonts w:ascii="Arial" w:hAnsi="Arial" w:cs="Arial"/>
          <w:sz w:val="20"/>
          <w:szCs w:val="22"/>
        </w:rPr>
        <w:t>KAfD</w:t>
      </w:r>
      <w:proofErr w:type="spellEnd"/>
      <w:r w:rsidRPr="003555F6">
        <w:rPr>
          <w:rFonts w:ascii="Arial" w:hAnsi="Arial" w:cs="Arial"/>
          <w:sz w:val="20"/>
          <w:szCs w:val="22"/>
        </w:rPr>
        <w:t xml:space="preserve"> there will also be </w:t>
      </w:r>
      <w:r w:rsidRPr="003555F6">
        <w:rPr>
          <w:rFonts w:ascii="Arial" w:hAnsi="Arial" w:cs="Arial"/>
          <w:iCs/>
          <w:sz w:val="20"/>
          <w:szCs w:val="22"/>
        </w:rPr>
        <w:t xml:space="preserve">an additional focus on the role of TBMH in wider cultural learning (e.g. Cultural Education Partnerships); and improvement in </w:t>
      </w:r>
      <w:r w:rsidR="00611BF4">
        <w:rPr>
          <w:rFonts w:ascii="Arial" w:hAnsi="Arial" w:cs="Arial"/>
          <w:iCs/>
          <w:sz w:val="20"/>
          <w:szCs w:val="22"/>
        </w:rPr>
        <w:t>IT</w:t>
      </w:r>
      <w:r w:rsidRPr="003555F6">
        <w:rPr>
          <w:rFonts w:ascii="Arial" w:hAnsi="Arial" w:cs="Arial"/>
          <w:iCs/>
          <w:sz w:val="20"/>
          <w:szCs w:val="22"/>
        </w:rPr>
        <w:t xml:space="preserve"> usage, (e.g. music technology, social media, website etc).  </w:t>
      </w:r>
      <w:bookmarkEnd w:id="12"/>
    </w:p>
    <w:sectPr w:rsidR="005379B2" w:rsidRPr="003555F6" w:rsidSect="005379B2">
      <w:headerReference w:type="default" r:id="rId11"/>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6102" w14:textId="77777777" w:rsidR="00E50E07" w:rsidRDefault="00E50E07" w:rsidP="00FD1B84">
      <w:r>
        <w:separator/>
      </w:r>
    </w:p>
  </w:endnote>
  <w:endnote w:type="continuationSeparator" w:id="0">
    <w:p w14:paraId="3E23AFE5" w14:textId="77777777" w:rsidR="00E50E07" w:rsidRDefault="00E50E07" w:rsidP="00FD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4BC7" w14:textId="582FA9ED" w:rsidR="00F25B04" w:rsidRDefault="00F25B04" w:rsidP="00F25B04">
    <w:pPr>
      <w:pStyle w:val="Footer"/>
      <w:jc w:val="center"/>
    </w:pPr>
    <w:r>
      <w:rPr>
        <w:noProof/>
      </w:rPr>
      <w:drawing>
        <wp:anchor distT="0" distB="0" distL="114300" distR="114300" simplePos="0" relativeHeight="251657728" behindDoc="1" locked="0" layoutInCell="1" allowOverlap="1" wp14:anchorId="22C9FA09" wp14:editId="79D06AA7">
          <wp:simplePos x="0" y="0"/>
          <wp:positionH relativeFrom="column">
            <wp:posOffset>457200</wp:posOffset>
          </wp:positionH>
          <wp:positionV relativeFrom="paragraph">
            <wp:posOffset>-8407</wp:posOffset>
          </wp:positionV>
          <wp:extent cx="5730875" cy="7131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713105"/>
                  </a:xfrm>
                  <a:prstGeom prst="rect">
                    <a:avLst/>
                  </a:prstGeom>
                  <a:noFill/>
                </pic:spPr>
              </pic:pic>
            </a:graphicData>
          </a:graphic>
          <wp14:sizeRelH relativeFrom="page">
            <wp14:pctWidth>0</wp14:pctWidth>
          </wp14:sizeRelH>
          <wp14:sizeRelV relativeFrom="page">
            <wp14:pctHeight>0</wp14:pctHeight>
          </wp14:sizeRelV>
        </wp:anchor>
      </w:drawing>
    </w:r>
  </w:p>
  <w:p w14:paraId="5871B2D6" w14:textId="77777777" w:rsidR="00F25B04" w:rsidRDefault="00F25B04" w:rsidP="00F25B04">
    <w:pPr>
      <w:pStyle w:val="Footer"/>
      <w:jc w:val="center"/>
    </w:pPr>
  </w:p>
  <w:p w14:paraId="496ABECF" w14:textId="68E15F37" w:rsidR="00F25B04" w:rsidRDefault="00F25B04" w:rsidP="00F25B0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1213" w14:textId="77777777" w:rsidR="00E50E07" w:rsidRDefault="00E50E07" w:rsidP="00FD1B84">
      <w:r>
        <w:separator/>
      </w:r>
    </w:p>
  </w:footnote>
  <w:footnote w:type="continuationSeparator" w:id="0">
    <w:p w14:paraId="24CCA8DC" w14:textId="77777777" w:rsidR="00E50E07" w:rsidRDefault="00E50E07" w:rsidP="00FD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B5A98" w14:textId="58AEFA4D" w:rsidR="00F25B04" w:rsidRDefault="00F25B04">
    <w:pPr>
      <w:pStyle w:val="Header"/>
    </w:pPr>
    <w:r>
      <w:rPr>
        <w:noProof/>
      </w:rPr>
      <w:drawing>
        <wp:anchor distT="0" distB="0" distL="114300" distR="114300" simplePos="0" relativeHeight="251656704" behindDoc="1" locked="0" layoutInCell="1" allowOverlap="1" wp14:anchorId="741FAEBF" wp14:editId="287CE675">
          <wp:simplePos x="0" y="0"/>
          <wp:positionH relativeFrom="column">
            <wp:posOffset>5040172</wp:posOffset>
          </wp:positionH>
          <wp:positionV relativeFrom="paragraph">
            <wp:posOffset>-215799</wp:posOffset>
          </wp:positionV>
          <wp:extent cx="1767840" cy="60325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84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10BFD"/>
    <w:multiLevelType w:val="hybridMultilevel"/>
    <w:tmpl w:val="5AFE5694"/>
    <w:lvl w:ilvl="0" w:tplc="F314D1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11C39"/>
    <w:multiLevelType w:val="hybridMultilevel"/>
    <w:tmpl w:val="36A01AD4"/>
    <w:lvl w:ilvl="0" w:tplc="B57E36E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A2D4D"/>
    <w:multiLevelType w:val="hybridMultilevel"/>
    <w:tmpl w:val="BA9C95F8"/>
    <w:lvl w:ilvl="0" w:tplc="85A809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9E4BF7"/>
    <w:multiLevelType w:val="hybridMultilevel"/>
    <w:tmpl w:val="3E7C8BD0"/>
    <w:lvl w:ilvl="0" w:tplc="517A0E0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B40F4"/>
    <w:multiLevelType w:val="multilevel"/>
    <w:tmpl w:val="059C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C066F"/>
    <w:multiLevelType w:val="multilevel"/>
    <w:tmpl w:val="0F9AFE56"/>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540"/>
        </w:tabs>
        <w:ind w:left="540" w:hanging="360"/>
      </w:pPr>
      <w:rPr>
        <w:rFonts w:ascii="Symbol" w:hAnsi="Symbol" w:hint="default"/>
        <w:sz w:val="20"/>
      </w:rPr>
    </w:lvl>
    <w:lvl w:ilvl="4" w:tentative="1">
      <w:start w:val="1"/>
      <w:numFmt w:val="bullet"/>
      <w:lvlText w:val=""/>
      <w:lvlJc w:val="left"/>
      <w:pPr>
        <w:tabs>
          <w:tab w:val="num" w:pos="1260"/>
        </w:tabs>
        <w:ind w:left="1260" w:hanging="360"/>
      </w:pPr>
      <w:rPr>
        <w:rFonts w:ascii="Symbol" w:hAnsi="Symbol" w:hint="default"/>
        <w:sz w:val="20"/>
      </w:rPr>
    </w:lvl>
    <w:lvl w:ilvl="5" w:tentative="1">
      <w:start w:val="1"/>
      <w:numFmt w:val="bullet"/>
      <w:lvlText w:val=""/>
      <w:lvlJc w:val="left"/>
      <w:pPr>
        <w:tabs>
          <w:tab w:val="num" w:pos="1980"/>
        </w:tabs>
        <w:ind w:left="1980" w:hanging="360"/>
      </w:pPr>
      <w:rPr>
        <w:rFonts w:ascii="Symbol" w:hAnsi="Symbol" w:hint="default"/>
        <w:sz w:val="20"/>
      </w:rPr>
    </w:lvl>
    <w:lvl w:ilvl="6" w:tentative="1">
      <w:start w:val="1"/>
      <w:numFmt w:val="bullet"/>
      <w:lvlText w:val=""/>
      <w:lvlJc w:val="left"/>
      <w:pPr>
        <w:tabs>
          <w:tab w:val="num" w:pos="2700"/>
        </w:tabs>
        <w:ind w:left="2700" w:hanging="360"/>
      </w:pPr>
      <w:rPr>
        <w:rFonts w:ascii="Symbol" w:hAnsi="Symbol" w:hint="default"/>
        <w:sz w:val="20"/>
      </w:rPr>
    </w:lvl>
    <w:lvl w:ilvl="7" w:tentative="1">
      <w:start w:val="1"/>
      <w:numFmt w:val="bullet"/>
      <w:lvlText w:val=""/>
      <w:lvlJc w:val="left"/>
      <w:pPr>
        <w:tabs>
          <w:tab w:val="num" w:pos="3420"/>
        </w:tabs>
        <w:ind w:left="3420" w:hanging="360"/>
      </w:pPr>
      <w:rPr>
        <w:rFonts w:ascii="Symbol" w:hAnsi="Symbol" w:hint="default"/>
        <w:sz w:val="20"/>
      </w:rPr>
    </w:lvl>
    <w:lvl w:ilvl="8" w:tentative="1">
      <w:start w:val="1"/>
      <w:numFmt w:val="bullet"/>
      <w:lvlText w:val=""/>
      <w:lvlJc w:val="left"/>
      <w:pPr>
        <w:tabs>
          <w:tab w:val="num" w:pos="4140"/>
        </w:tabs>
        <w:ind w:left="4140" w:hanging="360"/>
      </w:pPr>
      <w:rPr>
        <w:rFonts w:ascii="Symbol" w:hAnsi="Symbol" w:hint="default"/>
        <w:sz w:val="20"/>
      </w:rPr>
    </w:lvl>
  </w:abstractNum>
  <w:abstractNum w:abstractNumId="6" w15:restartNumberingAfterBreak="0">
    <w:nsid w:val="45B44B4A"/>
    <w:multiLevelType w:val="hybridMultilevel"/>
    <w:tmpl w:val="1182E998"/>
    <w:lvl w:ilvl="0" w:tplc="F3FCAB50">
      <w:start w:val="1"/>
      <w:numFmt w:val="decimal"/>
      <w:lvlText w:val="%1."/>
      <w:lvlJc w:val="left"/>
      <w:pPr>
        <w:ind w:left="360" w:hanging="360"/>
      </w:pPr>
      <w:rPr>
        <w:rFonts w:hint="default"/>
        <w:color w:val="auto"/>
        <w:sz w:val="20"/>
        <w:szCs w:val="23"/>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5032308"/>
    <w:multiLevelType w:val="hybridMultilevel"/>
    <w:tmpl w:val="B9185AEE"/>
    <w:lvl w:ilvl="0" w:tplc="B498B794">
      <w:start w:val="1"/>
      <w:numFmt w:val="decimal"/>
      <w:lvlText w:val="%1."/>
      <w:lvlJc w:val="left"/>
      <w:pPr>
        <w:tabs>
          <w:tab w:val="num" w:pos="720"/>
        </w:tabs>
        <w:ind w:left="720" w:hanging="360"/>
      </w:pPr>
      <w:rPr>
        <w:rFonts w:hint="default"/>
        <w:b/>
        <w:bCs/>
      </w:rPr>
    </w:lvl>
    <w:lvl w:ilvl="1" w:tplc="84960126" w:tentative="1">
      <w:start w:val="1"/>
      <w:numFmt w:val="bullet"/>
      <w:lvlText w:val="•"/>
      <w:lvlJc w:val="left"/>
      <w:pPr>
        <w:tabs>
          <w:tab w:val="num" w:pos="1440"/>
        </w:tabs>
        <w:ind w:left="1440" w:hanging="360"/>
      </w:pPr>
      <w:rPr>
        <w:rFonts w:ascii="Arial" w:hAnsi="Arial" w:hint="default"/>
      </w:rPr>
    </w:lvl>
    <w:lvl w:ilvl="2" w:tplc="4A122156" w:tentative="1">
      <w:start w:val="1"/>
      <w:numFmt w:val="bullet"/>
      <w:lvlText w:val="•"/>
      <w:lvlJc w:val="left"/>
      <w:pPr>
        <w:tabs>
          <w:tab w:val="num" w:pos="2160"/>
        </w:tabs>
        <w:ind w:left="2160" w:hanging="360"/>
      </w:pPr>
      <w:rPr>
        <w:rFonts w:ascii="Arial" w:hAnsi="Arial" w:hint="default"/>
      </w:rPr>
    </w:lvl>
    <w:lvl w:ilvl="3" w:tplc="5BBE090C" w:tentative="1">
      <w:start w:val="1"/>
      <w:numFmt w:val="bullet"/>
      <w:lvlText w:val="•"/>
      <w:lvlJc w:val="left"/>
      <w:pPr>
        <w:tabs>
          <w:tab w:val="num" w:pos="2880"/>
        </w:tabs>
        <w:ind w:left="2880" w:hanging="360"/>
      </w:pPr>
      <w:rPr>
        <w:rFonts w:ascii="Arial" w:hAnsi="Arial" w:hint="default"/>
      </w:rPr>
    </w:lvl>
    <w:lvl w:ilvl="4" w:tplc="4F04DF66" w:tentative="1">
      <w:start w:val="1"/>
      <w:numFmt w:val="bullet"/>
      <w:lvlText w:val="•"/>
      <w:lvlJc w:val="left"/>
      <w:pPr>
        <w:tabs>
          <w:tab w:val="num" w:pos="3600"/>
        </w:tabs>
        <w:ind w:left="3600" w:hanging="360"/>
      </w:pPr>
      <w:rPr>
        <w:rFonts w:ascii="Arial" w:hAnsi="Arial" w:hint="default"/>
      </w:rPr>
    </w:lvl>
    <w:lvl w:ilvl="5" w:tplc="C90ECF16" w:tentative="1">
      <w:start w:val="1"/>
      <w:numFmt w:val="bullet"/>
      <w:lvlText w:val="•"/>
      <w:lvlJc w:val="left"/>
      <w:pPr>
        <w:tabs>
          <w:tab w:val="num" w:pos="4320"/>
        </w:tabs>
        <w:ind w:left="4320" w:hanging="360"/>
      </w:pPr>
      <w:rPr>
        <w:rFonts w:ascii="Arial" w:hAnsi="Arial" w:hint="default"/>
      </w:rPr>
    </w:lvl>
    <w:lvl w:ilvl="6" w:tplc="0BA664AE" w:tentative="1">
      <w:start w:val="1"/>
      <w:numFmt w:val="bullet"/>
      <w:lvlText w:val="•"/>
      <w:lvlJc w:val="left"/>
      <w:pPr>
        <w:tabs>
          <w:tab w:val="num" w:pos="5040"/>
        </w:tabs>
        <w:ind w:left="5040" w:hanging="360"/>
      </w:pPr>
      <w:rPr>
        <w:rFonts w:ascii="Arial" w:hAnsi="Arial" w:hint="default"/>
      </w:rPr>
    </w:lvl>
    <w:lvl w:ilvl="7" w:tplc="F5B6FF9C" w:tentative="1">
      <w:start w:val="1"/>
      <w:numFmt w:val="bullet"/>
      <w:lvlText w:val="•"/>
      <w:lvlJc w:val="left"/>
      <w:pPr>
        <w:tabs>
          <w:tab w:val="num" w:pos="5760"/>
        </w:tabs>
        <w:ind w:left="5760" w:hanging="360"/>
      </w:pPr>
      <w:rPr>
        <w:rFonts w:ascii="Arial" w:hAnsi="Arial" w:hint="default"/>
      </w:rPr>
    </w:lvl>
    <w:lvl w:ilvl="8" w:tplc="A686D6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95260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F2761"/>
    <w:multiLevelType w:val="hybridMultilevel"/>
    <w:tmpl w:val="6A3E4498"/>
    <w:lvl w:ilvl="0" w:tplc="FF46DE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3713AB"/>
    <w:multiLevelType w:val="hybridMultilevel"/>
    <w:tmpl w:val="5434ABBC"/>
    <w:lvl w:ilvl="0" w:tplc="DB6EAAA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F5EFD"/>
    <w:multiLevelType w:val="hybridMultilevel"/>
    <w:tmpl w:val="2D683564"/>
    <w:lvl w:ilvl="0" w:tplc="8C1486C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BC5505"/>
    <w:multiLevelType w:val="hybridMultilevel"/>
    <w:tmpl w:val="76DEC5B4"/>
    <w:lvl w:ilvl="0" w:tplc="E0A0DACE">
      <w:start w:val="2"/>
      <w:numFmt w:val="bullet"/>
      <w:lvlText w:val="-"/>
      <w:lvlJc w:val="left"/>
      <w:pPr>
        <w:ind w:left="1080" w:hanging="360"/>
      </w:pPr>
      <w:rPr>
        <w:rFonts w:ascii="Arial" w:eastAsiaTheme="minorEastAsia"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F5F0419"/>
    <w:multiLevelType w:val="multilevel"/>
    <w:tmpl w:val="A27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F62C48"/>
    <w:multiLevelType w:val="hybridMultilevel"/>
    <w:tmpl w:val="664E2626"/>
    <w:lvl w:ilvl="0" w:tplc="FC28226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9617A"/>
    <w:multiLevelType w:val="hybridMultilevel"/>
    <w:tmpl w:val="C7A0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B7497E"/>
    <w:multiLevelType w:val="multilevel"/>
    <w:tmpl w:val="6CA0B510"/>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7" w15:restartNumberingAfterBreak="0">
    <w:nsid w:val="7B4C72F5"/>
    <w:multiLevelType w:val="hybridMultilevel"/>
    <w:tmpl w:val="8B4EB088"/>
    <w:lvl w:ilvl="0" w:tplc="0716280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2"/>
  </w:num>
  <w:num w:numId="4">
    <w:abstractNumId w:val="11"/>
  </w:num>
  <w:num w:numId="5">
    <w:abstractNumId w:val="0"/>
  </w:num>
  <w:num w:numId="6">
    <w:abstractNumId w:val="3"/>
  </w:num>
  <w:num w:numId="7">
    <w:abstractNumId w:val="1"/>
  </w:num>
  <w:num w:numId="8">
    <w:abstractNumId w:val="14"/>
  </w:num>
  <w:num w:numId="9">
    <w:abstractNumId w:val="10"/>
  </w:num>
  <w:num w:numId="10">
    <w:abstractNumId w:val="17"/>
  </w:num>
  <w:num w:numId="11">
    <w:abstractNumId w:val="15"/>
  </w:num>
  <w:num w:numId="12">
    <w:abstractNumId w:val="7"/>
  </w:num>
  <w:num w:numId="13">
    <w:abstractNumId w:val="12"/>
  </w:num>
  <w:num w:numId="14">
    <w:abstractNumId w:val="6"/>
  </w:num>
  <w:num w:numId="15">
    <w:abstractNumId w:val="5"/>
  </w:num>
  <w:num w:numId="16">
    <w:abstractNumId w:val="16"/>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BE"/>
    <w:rsid w:val="00037364"/>
    <w:rsid w:val="0004069F"/>
    <w:rsid w:val="0004401B"/>
    <w:rsid w:val="000701CC"/>
    <w:rsid w:val="00091F83"/>
    <w:rsid w:val="000A2B3E"/>
    <w:rsid w:val="000C7AE9"/>
    <w:rsid w:val="000F0A6A"/>
    <w:rsid w:val="00103681"/>
    <w:rsid w:val="00150591"/>
    <w:rsid w:val="001746FA"/>
    <w:rsid w:val="001A72BD"/>
    <w:rsid w:val="001C38B5"/>
    <w:rsid w:val="001D6DEF"/>
    <w:rsid w:val="002658F7"/>
    <w:rsid w:val="00293569"/>
    <w:rsid w:val="002F1628"/>
    <w:rsid w:val="00316CE1"/>
    <w:rsid w:val="003555F6"/>
    <w:rsid w:val="003B1081"/>
    <w:rsid w:val="003E5B5D"/>
    <w:rsid w:val="00462B09"/>
    <w:rsid w:val="0047044E"/>
    <w:rsid w:val="00480CFF"/>
    <w:rsid w:val="004B480F"/>
    <w:rsid w:val="004F4148"/>
    <w:rsid w:val="005379B2"/>
    <w:rsid w:val="00545330"/>
    <w:rsid w:val="00557888"/>
    <w:rsid w:val="0056411B"/>
    <w:rsid w:val="005D27D9"/>
    <w:rsid w:val="005F01F9"/>
    <w:rsid w:val="00601F05"/>
    <w:rsid w:val="00611BF4"/>
    <w:rsid w:val="00690E75"/>
    <w:rsid w:val="00693421"/>
    <w:rsid w:val="006964B1"/>
    <w:rsid w:val="006D09E7"/>
    <w:rsid w:val="006E50BE"/>
    <w:rsid w:val="00737035"/>
    <w:rsid w:val="00774B12"/>
    <w:rsid w:val="00781566"/>
    <w:rsid w:val="007A0FE4"/>
    <w:rsid w:val="007A7CC0"/>
    <w:rsid w:val="0080249A"/>
    <w:rsid w:val="00883F47"/>
    <w:rsid w:val="00894625"/>
    <w:rsid w:val="0089590F"/>
    <w:rsid w:val="008D2759"/>
    <w:rsid w:val="00902A8C"/>
    <w:rsid w:val="009055D5"/>
    <w:rsid w:val="009409F7"/>
    <w:rsid w:val="00973A1E"/>
    <w:rsid w:val="009B0A6A"/>
    <w:rsid w:val="009E053A"/>
    <w:rsid w:val="009E43B4"/>
    <w:rsid w:val="00A3182A"/>
    <w:rsid w:val="00A40B35"/>
    <w:rsid w:val="00A57376"/>
    <w:rsid w:val="00A73D2D"/>
    <w:rsid w:val="00A868F5"/>
    <w:rsid w:val="00AC11B5"/>
    <w:rsid w:val="00B251FE"/>
    <w:rsid w:val="00B36785"/>
    <w:rsid w:val="00B8041A"/>
    <w:rsid w:val="00C92CCC"/>
    <w:rsid w:val="00CA585E"/>
    <w:rsid w:val="00CA7E34"/>
    <w:rsid w:val="00D24252"/>
    <w:rsid w:val="00D40110"/>
    <w:rsid w:val="00D4312A"/>
    <w:rsid w:val="00DD36FB"/>
    <w:rsid w:val="00E36DB7"/>
    <w:rsid w:val="00E50E07"/>
    <w:rsid w:val="00E833E8"/>
    <w:rsid w:val="00E84A7E"/>
    <w:rsid w:val="00F25B04"/>
    <w:rsid w:val="00FD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D38FC3"/>
  <w15:chartTrackingRefBased/>
  <w15:docId w15:val="{51F4D3F8-F608-4005-A9D2-A5291B7F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0BE"/>
    <w:pPr>
      <w:spacing w:after="0" w:line="240" w:lineRule="auto"/>
    </w:pPr>
    <w:rPr>
      <w:rFonts w:ascii="Arial MT" w:eastAsia="Cambria" w:hAnsi="Arial MT" w:cs="Times New Roman"/>
      <w:sz w:val="26"/>
      <w:szCs w:val="20"/>
    </w:rPr>
  </w:style>
  <w:style w:type="paragraph" w:styleId="Heading1">
    <w:name w:val="heading 1"/>
    <w:basedOn w:val="Normal"/>
    <w:next w:val="Normal"/>
    <w:link w:val="Heading1Char"/>
    <w:uiPriority w:val="9"/>
    <w:qFormat/>
    <w:rsid w:val="006E50BE"/>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0BE"/>
    <w:rPr>
      <w:rFonts w:asciiTheme="majorHAnsi" w:eastAsiaTheme="majorEastAsia" w:hAnsiTheme="majorHAnsi" w:cstheme="majorBidi"/>
      <w:b/>
      <w:bCs/>
      <w:color w:val="2F5496" w:themeColor="accent1" w:themeShade="BF"/>
      <w:sz w:val="28"/>
      <w:szCs w:val="28"/>
      <w:lang w:val="en-US"/>
    </w:rPr>
  </w:style>
  <w:style w:type="paragraph" w:styleId="NormalWeb">
    <w:name w:val="Normal (Web)"/>
    <w:basedOn w:val="Normal"/>
    <w:uiPriority w:val="99"/>
    <w:unhideWhenUsed/>
    <w:rsid w:val="006E50BE"/>
    <w:rPr>
      <w:rFonts w:ascii="Calibri" w:eastAsiaTheme="minorHAnsi" w:hAnsi="Calibri" w:cs="Calibri"/>
      <w:sz w:val="22"/>
      <w:szCs w:val="22"/>
      <w:lang w:eastAsia="en-GB"/>
    </w:rPr>
  </w:style>
  <w:style w:type="character" w:styleId="Emphasis">
    <w:name w:val="Emphasis"/>
    <w:basedOn w:val="DefaultParagraphFont"/>
    <w:uiPriority w:val="20"/>
    <w:qFormat/>
    <w:rsid w:val="006E50BE"/>
    <w:rPr>
      <w:i/>
      <w:iCs/>
    </w:rPr>
  </w:style>
  <w:style w:type="paragraph" w:styleId="Header">
    <w:name w:val="header"/>
    <w:basedOn w:val="Normal"/>
    <w:link w:val="HeaderChar"/>
    <w:uiPriority w:val="99"/>
    <w:unhideWhenUsed/>
    <w:rsid w:val="00FD1B84"/>
    <w:pPr>
      <w:tabs>
        <w:tab w:val="center" w:pos="4513"/>
        <w:tab w:val="right" w:pos="9026"/>
      </w:tabs>
    </w:pPr>
  </w:style>
  <w:style w:type="character" w:customStyle="1" w:styleId="HeaderChar">
    <w:name w:val="Header Char"/>
    <w:basedOn w:val="DefaultParagraphFont"/>
    <w:link w:val="Header"/>
    <w:uiPriority w:val="99"/>
    <w:rsid w:val="00FD1B84"/>
    <w:rPr>
      <w:rFonts w:ascii="Arial MT" w:eastAsia="Cambria" w:hAnsi="Arial MT" w:cs="Times New Roman"/>
      <w:sz w:val="26"/>
      <w:szCs w:val="20"/>
    </w:rPr>
  </w:style>
  <w:style w:type="paragraph" w:styleId="Footer">
    <w:name w:val="footer"/>
    <w:basedOn w:val="Normal"/>
    <w:link w:val="FooterChar"/>
    <w:uiPriority w:val="99"/>
    <w:unhideWhenUsed/>
    <w:rsid w:val="00FD1B84"/>
    <w:pPr>
      <w:tabs>
        <w:tab w:val="center" w:pos="4513"/>
        <w:tab w:val="right" w:pos="9026"/>
      </w:tabs>
    </w:pPr>
  </w:style>
  <w:style w:type="character" w:customStyle="1" w:styleId="FooterChar">
    <w:name w:val="Footer Char"/>
    <w:basedOn w:val="DefaultParagraphFont"/>
    <w:link w:val="Footer"/>
    <w:uiPriority w:val="99"/>
    <w:rsid w:val="00FD1B84"/>
    <w:rPr>
      <w:rFonts w:ascii="Arial MT" w:eastAsia="Cambria" w:hAnsi="Arial MT" w:cs="Times New Roman"/>
      <w:sz w:val="26"/>
      <w:szCs w:val="20"/>
    </w:rPr>
  </w:style>
  <w:style w:type="table" w:styleId="TableGrid">
    <w:name w:val="Table Grid"/>
    <w:basedOn w:val="TableNormal"/>
    <w:uiPriority w:val="39"/>
    <w:rsid w:val="002F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CC"/>
    <w:pPr>
      <w:ind w:left="720"/>
      <w:contextualSpacing/>
    </w:pPr>
  </w:style>
  <w:style w:type="character" w:styleId="Hyperlink">
    <w:name w:val="Hyperlink"/>
    <w:basedOn w:val="DefaultParagraphFont"/>
    <w:uiPriority w:val="99"/>
    <w:unhideWhenUsed/>
    <w:rsid w:val="005379B2"/>
    <w:rPr>
      <w:color w:val="0563C1" w:themeColor="hyperlink"/>
      <w:u w:val="single"/>
    </w:rPr>
  </w:style>
  <w:style w:type="character" w:styleId="Strong">
    <w:name w:val="Strong"/>
    <w:basedOn w:val="DefaultParagraphFont"/>
    <w:uiPriority w:val="22"/>
    <w:qFormat/>
    <w:rsid w:val="005379B2"/>
    <w:rPr>
      <w:b/>
      <w:bCs/>
    </w:rPr>
  </w:style>
  <w:style w:type="paragraph" w:customStyle="1" w:styleId="paragraph">
    <w:name w:val="paragraph"/>
    <w:basedOn w:val="Normal"/>
    <w:rsid w:val="005F01F9"/>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5F01F9"/>
  </w:style>
  <w:style w:type="character" w:customStyle="1" w:styleId="eop">
    <w:name w:val="eop"/>
    <w:basedOn w:val="DefaultParagraphFont"/>
    <w:rsid w:val="005F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riboroughmusichu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57C4E1C25ED549AB8F5CEB243BE5C6" ma:contentTypeVersion="6" ma:contentTypeDescription="Create a new document." ma:contentTypeScope="" ma:versionID="7f2f6e51b080287d16972f6380b7a074">
  <xsd:schema xmlns:xsd="http://www.w3.org/2001/XMLSchema" xmlns:xs="http://www.w3.org/2001/XMLSchema" xmlns:p="http://schemas.microsoft.com/office/2006/metadata/properties" xmlns:ns2="6d37cb36-1778-4416-9f74-8394a42ef6b0" xmlns:ns3="04adfadb-9cd7-4d52-9a02-7d16238c1ec5" targetNamespace="http://schemas.microsoft.com/office/2006/metadata/properties" ma:root="true" ma:fieldsID="39a1e4960b675cdaf15a1c20c16ffefd" ns2:_="" ns3:_="">
    <xsd:import namespace="6d37cb36-1778-4416-9f74-8394a42ef6b0"/>
    <xsd:import namespace="04adfadb-9cd7-4d52-9a02-7d16238c1e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7cb36-1778-4416-9f74-8394a42ef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dfadb-9cd7-4d52-9a02-7d16238c1e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5FD17-755B-4A50-9B90-2ADD8F69A086}">
  <ds:schemaRefs>
    <ds:schemaRef ds:uri="http://purl.org/dc/terms/"/>
    <ds:schemaRef ds:uri="http://purl.org/dc/elements/1.1/"/>
    <ds:schemaRef ds:uri="6d37cb36-1778-4416-9f74-8394a42ef6b0"/>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04adfadb-9cd7-4d52-9a02-7d16238c1ec5"/>
    <ds:schemaRef ds:uri="http://www.w3.org/XML/1998/namespace"/>
    <ds:schemaRef ds:uri="http://purl.org/dc/dcmitype/"/>
  </ds:schemaRefs>
</ds:datastoreItem>
</file>

<file path=customXml/itemProps2.xml><?xml version="1.0" encoding="utf-8"?>
<ds:datastoreItem xmlns:ds="http://schemas.openxmlformats.org/officeDocument/2006/customXml" ds:itemID="{ED37410E-19C0-4C01-A439-EDAD91FF1E6A}">
  <ds:schemaRefs>
    <ds:schemaRef ds:uri="http://schemas.microsoft.com/sharepoint/v3/contenttype/forms"/>
  </ds:schemaRefs>
</ds:datastoreItem>
</file>

<file path=customXml/itemProps3.xml><?xml version="1.0" encoding="utf-8"?>
<ds:datastoreItem xmlns:ds="http://schemas.openxmlformats.org/officeDocument/2006/customXml" ds:itemID="{5C7F3D18-B021-47EC-B6CF-7A47F008F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7cb36-1778-4416-9f74-8394a42ef6b0"/>
    <ds:schemaRef ds:uri="04adfadb-9cd7-4d52-9a02-7d16238c1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 Borough</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Whatmore, Stuart: CS-Schools: RBKC</dc:creator>
  <cp:keywords/>
  <dc:description/>
  <cp:lastModifiedBy>Whatmore, Stuart: RBKC</cp:lastModifiedBy>
  <cp:revision>13</cp:revision>
  <cp:lastPrinted>2020-01-27T14:16:00Z</cp:lastPrinted>
  <dcterms:created xsi:type="dcterms:W3CDTF">2020-10-08T10:39:00Z</dcterms:created>
  <dcterms:modified xsi:type="dcterms:W3CDTF">2020-10-08T11:17:00Z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0x010100D257C4E1C25ED549AB8F5CEB243BE5C6</vt:lpwstr>
  </property>
</Properties>
</file>